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01E6D2" w14:textId="77777777" w:rsidR="00416C11" w:rsidRDefault="00CF2369" w:rsidP="008E26D3">
      <w:pPr>
        <w:jc w:val="center"/>
        <w:rPr>
          <w:b/>
          <w:sz w:val="28"/>
          <w:szCs w:val="28"/>
        </w:rPr>
      </w:pPr>
      <w:bookmarkStart w:id="0" w:name="_Toc18836196"/>
      <w:r w:rsidRPr="004A3968">
        <w:rPr>
          <w:b/>
          <w:sz w:val="28"/>
          <w:szCs w:val="28"/>
        </w:rPr>
        <w:t>Heiltsuk Nation</w:t>
      </w:r>
      <w:r w:rsidR="004A3968" w:rsidRPr="004A3968">
        <w:rPr>
          <w:b/>
          <w:sz w:val="28"/>
          <w:szCs w:val="28"/>
        </w:rPr>
        <w:t>:</w:t>
      </w:r>
      <w:r w:rsidR="008E26D3">
        <w:rPr>
          <w:b/>
          <w:sz w:val="28"/>
          <w:szCs w:val="28"/>
        </w:rPr>
        <w:br/>
      </w:r>
      <w:r w:rsidR="004A3968" w:rsidRPr="004A3968">
        <w:rPr>
          <w:b/>
          <w:sz w:val="28"/>
          <w:szCs w:val="28"/>
        </w:rPr>
        <w:t>Submissions o</w:t>
      </w:r>
      <w:r w:rsidR="00F30D03" w:rsidRPr="004A3968">
        <w:rPr>
          <w:b/>
          <w:sz w:val="28"/>
          <w:szCs w:val="28"/>
        </w:rPr>
        <w:t xml:space="preserve">n the </w:t>
      </w:r>
      <w:r w:rsidR="00F30D03" w:rsidRPr="004A3968">
        <w:rPr>
          <w:b/>
          <w:i/>
          <w:sz w:val="28"/>
          <w:szCs w:val="28"/>
        </w:rPr>
        <w:t>Pilotage Act</w:t>
      </w:r>
    </w:p>
    <w:p w14:paraId="6700FA47" w14:textId="77777777" w:rsidR="006B2B10" w:rsidRPr="006B2B10" w:rsidRDefault="006B2B10" w:rsidP="004A3968">
      <w:pPr>
        <w:jc w:val="center"/>
        <w:rPr>
          <w:b/>
          <w:sz w:val="28"/>
          <w:szCs w:val="28"/>
        </w:rPr>
      </w:pPr>
      <w:r>
        <w:rPr>
          <w:b/>
          <w:sz w:val="28"/>
          <w:szCs w:val="28"/>
        </w:rPr>
        <w:t>March 14, 2018</w:t>
      </w:r>
    </w:p>
    <w:p w14:paraId="2B8E5687" w14:textId="77777777" w:rsidR="00F054D2" w:rsidRDefault="00F054D2" w:rsidP="00416C11">
      <w:pPr>
        <w:pStyle w:val="Heading1"/>
      </w:pPr>
      <w:bookmarkStart w:id="1" w:name="_Toc507508236"/>
      <w:r>
        <w:t>Introduction</w:t>
      </w:r>
      <w:bookmarkEnd w:id="1"/>
    </w:p>
    <w:p w14:paraId="0E9A3FA1" w14:textId="77777777" w:rsidR="002561F3" w:rsidRDefault="002561F3" w:rsidP="00177B40">
      <w:pPr>
        <w:pStyle w:val="Numbered"/>
        <w:ind w:hanging="720"/>
      </w:pPr>
      <w:bookmarkStart w:id="2" w:name="_Toc507508237"/>
      <w:r>
        <w:t xml:space="preserve">Heiltsuk First Nation (“Heiltsuk”) </w:t>
      </w:r>
      <w:r w:rsidR="00F54B2B">
        <w:t xml:space="preserve">thanks </w:t>
      </w:r>
      <w:r>
        <w:t>the Chair, Mr. Marc Gr</w:t>
      </w:r>
      <w:r w:rsidRPr="002561F3">
        <w:rPr>
          <w:color w:val="000000"/>
        </w:rPr>
        <w:t>é</w:t>
      </w:r>
      <w:r>
        <w:rPr>
          <w:color w:val="000000"/>
        </w:rPr>
        <w:t>goire,</w:t>
      </w:r>
      <w:r w:rsidRPr="002561F3">
        <w:t xml:space="preserve"> </w:t>
      </w:r>
      <w:r>
        <w:t xml:space="preserve">for this opportunity to address the </w:t>
      </w:r>
      <w:r w:rsidRPr="00F54B2B">
        <w:rPr>
          <w:i/>
        </w:rPr>
        <w:t>Pilotage Act</w:t>
      </w:r>
      <w:r w:rsidR="00F54B2B" w:rsidRPr="00F54B2B">
        <w:t xml:space="preserve">, R.S.C. 1985, </w:t>
      </w:r>
      <w:r w:rsidR="00F54B2B">
        <w:t>c. P-14.</w:t>
      </w:r>
    </w:p>
    <w:p w14:paraId="4E87BB02" w14:textId="77777777" w:rsidR="00DA51CB" w:rsidRPr="00416C11" w:rsidRDefault="00CA1EAB" w:rsidP="00F054D2">
      <w:pPr>
        <w:pStyle w:val="Heading2"/>
      </w:pPr>
      <w:r>
        <w:t>Heiltsuk First Nation</w:t>
      </w:r>
      <w:bookmarkEnd w:id="2"/>
      <w:r w:rsidR="00355414">
        <w:t xml:space="preserve"> and Reconciliation</w:t>
      </w:r>
    </w:p>
    <w:p w14:paraId="481E2C6B" w14:textId="77777777" w:rsidR="00DA51CB" w:rsidRPr="002E7906" w:rsidRDefault="005B6919" w:rsidP="00177B40">
      <w:pPr>
        <w:pStyle w:val="Numbered"/>
        <w:ind w:hanging="720"/>
      </w:pPr>
      <w:r>
        <w:t xml:space="preserve">Heiltsuk is a band of Aboriginal peoples on the Central Coast of British Columbia. </w:t>
      </w:r>
      <w:r w:rsidR="00F54B2B">
        <w:t>Our</w:t>
      </w:r>
      <w:r>
        <w:t xml:space="preserve"> traditional territories </w:t>
      </w:r>
      <w:r w:rsidR="00F54B2B">
        <w:t>consist of</w:t>
      </w:r>
      <w:r>
        <w:t xml:space="preserve"> </w:t>
      </w:r>
      <w:r w:rsidR="00F54B2B">
        <w:t xml:space="preserve">land and </w:t>
      </w:r>
      <w:r>
        <w:t xml:space="preserve">marine areas, including offshore </w:t>
      </w:r>
      <w:r w:rsidR="00F54B2B">
        <w:t>marine areas,</w:t>
      </w:r>
      <w:r>
        <w:t xml:space="preserve"> </w:t>
      </w:r>
      <w:r w:rsidR="00F54B2B">
        <w:t xml:space="preserve">encompassing </w:t>
      </w:r>
      <w:r>
        <w:t>the Goose Island Group and Banks</w:t>
      </w:r>
      <w:r w:rsidR="00F54B2B">
        <w:t>,</w:t>
      </w:r>
      <w:r>
        <w:t xml:space="preserve"> Campbell Island and Bella Bella. </w:t>
      </w:r>
      <w:r w:rsidR="00F54B2B">
        <w:t>Our</w:t>
      </w:r>
      <w:r>
        <w:t xml:space="preserve"> </w:t>
      </w:r>
      <w:r w:rsidR="00F54B2B">
        <w:t xml:space="preserve">traditional </w:t>
      </w:r>
      <w:r>
        <w:t>territories include</w:t>
      </w:r>
      <w:r w:rsidR="00F54B2B">
        <w:t xml:space="preserve"> but are not limited to</w:t>
      </w:r>
      <w:r>
        <w:t xml:space="preserve"> </w:t>
      </w:r>
      <w:r w:rsidR="00F54B2B">
        <w:t>twenty-three reserves.</w:t>
      </w:r>
    </w:p>
    <w:p w14:paraId="489AE5E7" w14:textId="77777777" w:rsidR="005B6919" w:rsidRDefault="00F54B2B" w:rsidP="00177B40">
      <w:pPr>
        <w:pStyle w:val="Numbered"/>
        <w:ind w:hanging="720"/>
      </w:pPr>
      <w:r>
        <w:t>We have</w:t>
      </w:r>
      <w:r w:rsidR="005B6919">
        <w:t xml:space="preserve"> traditionally and continuously used, occupied, and exercised jurisdiction over </w:t>
      </w:r>
      <w:r>
        <w:t>our</w:t>
      </w:r>
      <w:r w:rsidR="005B6919">
        <w:t xml:space="preserve"> traditional territory for thousands of years. </w:t>
      </w:r>
      <w:r>
        <w:t>We have</w:t>
      </w:r>
      <w:r w:rsidR="005B6919">
        <w:t xml:space="preserve"> never surrendered </w:t>
      </w:r>
      <w:r>
        <w:t>our</w:t>
      </w:r>
      <w:r w:rsidR="005B6919">
        <w:t xml:space="preserve"> territories or jurisdiction to the Crown through conquest, treaty or other means. </w:t>
      </w:r>
    </w:p>
    <w:p w14:paraId="7972B15F" w14:textId="77777777" w:rsidR="00F75233" w:rsidRPr="00F75233" w:rsidRDefault="005B6919" w:rsidP="00177B40">
      <w:pPr>
        <w:pStyle w:val="Numbered"/>
        <w:ind w:hanging="720"/>
      </w:pPr>
      <w:r w:rsidRPr="005B6919">
        <w:rPr>
          <w:rFonts w:eastAsiaTheme="minorEastAsia"/>
          <w:kern w:val="0"/>
          <w:szCs w:val="24"/>
          <w14:ligatures w14:val="none"/>
          <w14:numSpacing w14:val="default"/>
        </w:rPr>
        <w:t xml:space="preserve">Traditional harvesting is central to Heiltsuk </w:t>
      </w:r>
      <w:r>
        <w:rPr>
          <w:rFonts w:eastAsiaTheme="minorEastAsia"/>
          <w:kern w:val="0"/>
          <w:szCs w:val="24"/>
          <w14:ligatures w14:val="none"/>
          <w14:numSpacing w14:val="default"/>
        </w:rPr>
        <w:t>society</w:t>
      </w:r>
      <w:r w:rsidRPr="005B6919">
        <w:rPr>
          <w:rFonts w:eastAsiaTheme="minorEastAsia"/>
          <w:kern w:val="0"/>
          <w:szCs w:val="24"/>
          <w14:ligatures w14:val="none"/>
          <w14:numSpacing w14:val="default"/>
        </w:rPr>
        <w:t xml:space="preserve">. </w:t>
      </w:r>
      <w:r w:rsidR="00F54B2B">
        <w:rPr>
          <w:rFonts w:eastAsiaTheme="minorEastAsia"/>
          <w:kern w:val="0"/>
          <w:szCs w:val="24"/>
          <w14:ligatures w14:val="none"/>
          <w14:numSpacing w14:val="default"/>
        </w:rPr>
        <w:t>We</w:t>
      </w:r>
      <w:r w:rsidRPr="005B6919">
        <w:rPr>
          <w:rFonts w:eastAsiaTheme="minorEastAsia"/>
          <w:kern w:val="0"/>
          <w:szCs w:val="24"/>
          <w14:ligatures w14:val="none"/>
          <w14:numSpacing w14:val="default"/>
        </w:rPr>
        <w:t xml:space="preserve"> depend on natural </w:t>
      </w:r>
      <w:r w:rsidRPr="00177B40">
        <w:t>resources</w:t>
      </w:r>
      <w:r w:rsidRPr="005B6919">
        <w:rPr>
          <w:rFonts w:eastAsiaTheme="minorEastAsia"/>
          <w:kern w:val="0"/>
          <w:szCs w:val="24"/>
          <w14:ligatures w14:val="none"/>
          <w14:numSpacing w14:val="default"/>
        </w:rPr>
        <w:t xml:space="preserve"> within </w:t>
      </w:r>
      <w:r w:rsidR="00F54B2B">
        <w:rPr>
          <w:rFonts w:eastAsiaTheme="minorEastAsia"/>
          <w:kern w:val="0"/>
          <w:szCs w:val="24"/>
          <w14:ligatures w14:val="none"/>
          <w14:numSpacing w14:val="default"/>
        </w:rPr>
        <w:t>our</w:t>
      </w:r>
      <w:r w:rsidRPr="005B6919">
        <w:rPr>
          <w:rFonts w:eastAsiaTheme="minorEastAsia"/>
          <w:kern w:val="0"/>
          <w:szCs w:val="24"/>
          <w14:ligatures w14:val="none"/>
          <w14:numSpacing w14:val="default"/>
        </w:rPr>
        <w:t xml:space="preserve"> territories for </w:t>
      </w:r>
      <w:r w:rsidR="00F54B2B">
        <w:rPr>
          <w:rFonts w:eastAsiaTheme="minorEastAsia"/>
          <w:kern w:val="0"/>
          <w:szCs w:val="24"/>
          <w14:ligatures w14:val="none"/>
          <w14:numSpacing w14:val="default"/>
        </w:rPr>
        <w:t>our</w:t>
      </w:r>
      <w:r w:rsidRPr="005B6919">
        <w:rPr>
          <w:rFonts w:eastAsiaTheme="minorEastAsia"/>
          <w:kern w:val="0"/>
          <w:szCs w:val="24"/>
          <w14:ligatures w14:val="none"/>
          <w14:numSpacing w14:val="default"/>
        </w:rPr>
        <w:t xml:space="preserve"> food and health, </w:t>
      </w:r>
      <w:r w:rsidR="00F54B2B">
        <w:rPr>
          <w:rFonts w:eastAsiaTheme="minorEastAsia"/>
          <w:kern w:val="0"/>
          <w:szCs w:val="24"/>
          <w14:ligatures w14:val="none"/>
          <w14:numSpacing w14:val="default"/>
        </w:rPr>
        <w:t xml:space="preserve">our </w:t>
      </w:r>
      <w:r w:rsidRPr="005B6919">
        <w:rPr>
          <w:rFonts w:eastAsiaTheme="minorEastAsia"/>
          <w:kern w:val="0"/>
          <w:szCs w:val="24"/>
          <w14:ligatures w14:val="none"/>
          <w14:numSpacing w14:val="default"/>
        </w:rPr>
        <w:t xml:space="preserve">traditional activities, </w:t>
      </w:r>
      <w:r w:rsidR="00F54B2B">
        <w:rPr>
          <w:rFonts w:eastAsiaTheme="minorEastAsia"/>
          <w:kern w:val="0"/>
          <w:szCs w:val="24"/>
          <w14:ligatures w14:val="none"/>
          <w14:numSpacing w14:val="default"/>
        </w:rPr>
        <w:t>and our</w:t>
      </w:r>
      <w:r w:rsidRPr="005B6919">
        <w:rPr>
          <w:rFonts w:eastAsiaTheme="minorEastAsia"/>
          <w:kern w:val="0"/>
          <w:szCs w:val="24"/>
          <w14:ligatures w14:val="none"/>
          <w14:numSpacing w14:val="default"/>
        </w:rPr>
        <w:t xml:space="preserve"> econom</w:t>
      </w:r>
      <w:r w:rsidR="00F54B2B">
        <w:rPr>
          <w:rFonts w:eastAsiaTheme="minorEastAsia"/>
          <w:kern w:val="0"/>
          <w:szCs w:val="24"/>
          <w14:ligatures w14:val="none"/>
          <w14:numSpacing w14:val="default"/>
        </w:rPr>
        <w:t>y. Harvesting is part of our</w:t>
      </w:r>
      <w:r w:rsidRPr="005B6919">
        <w:rPr>
          <w:rFonts w:eastAsiaTheme="minorEastAsia"/>
          <w:kern w:val="0"/>
          <w:szCs w:val="24"/>
          <w14:ligatures w14:val="none"/>
          <w14:numSpacing w14:val="default"/>
        </w:rPr>
        <w:t xml:space="preserve"> cultural identit</w:t>
      </w:r>
      <w:r w:rsidR="00F54B2B">
        <w:rPr>
          <w:rFonts w:eastAsiaTheme="minorEastAsia"/>
          <w:kern w:val="0"/>
          <w:szCs w:val="24"/>
          <w14:ligatures w14:val="none"/>
          <w14:numSpacing w14:val="default"/>
        </w:rPr>
        <w:t>y</w:t>
      </w:r>
      <w:r w:rsidRPr="005B6919">
        <w:rPr>
          <w:rFonts w:eastAsiaTheme="minorEastAsia"/>
          <w:kern w:val="0"/>
          <w:szCs w:val="24"/>
          <w14:ligatures w14:val="none"/>
          <w14:numSpacing w14:val="default"/>
        </w:rPr>
        <w:t xml:space="preserve">. </w:t>
      </w:r>
      <w:r w:rsidR="00F54B2B">
        <w:rPr>
          <w:rFonts w:eastAsiaTheme="minorEastAsia"/>
          <w:kern w:val="0"/>
          <w:szCs w:val="24"/>
          <w14:ligatures w14:val="none"/>
          <w14:numSpacing w14:val="default"/>
        </w:rPr>
        <w:t>We</w:t>
      </w:r>
      <w:r w:rsidRPr="005B6919">
        <w:rPr>
          <w:rFonts w:eastAsiaTheme="minorEastAsia"/>
          <w:kern w:val="0"/>
          <w:szCs w:val="24"/>
          <w14:ligatures w14:val="none"/>
          <w14:numSpacing w14:val="default"/>
        </w:rPr>
        <w:t xml:space="preserve"> have,</w:t>
      </w:r>
      <w:r>
        <w:rPr>
          <w:rFonts w:eastAsiaTheme="minorEastAsia"/>
          <w:kern w:val="0"/>
          <w:szCs w:val="24"/>
          <w14:ligatures w14:val="none"/>
          <w14:numSpacing w14:val="default"/>
        </w:rPr>
        <w:t xml:space="preserve"> </w:t>
      </w:r>
      <w:r w:rsidRPr="005B6919">
        <w:rPr>
          <w:rFonts w:eastAsiaTheme="minorEastAsia"/>
          <w:kern w:val="0"/>
          <w:szCs w:val="24"/>
          <w14:ligatures w14:val="none"/>
          <w14:numSpacing w14:val="default"/>
        </w:rPr>
        <w:t>for thousands of years, managed and engaged in the harvesting and use of resources from</w:t>
      </w:r>
      <w:r>
        <w:rPr>
          <w:rFonts w:eastAsiaTheme="minorEastAsia"/>
          <w:kern w:val="0"/>
          <w:szCs w:val="24"/>
          <w14:ligatures w14:val="none"/>
          <w14:numSpacing w14:val="default"/>
        </w:rPr>
        <w:t xml:space="preserve"> </w:t>
      </w:r>
      <w:r w:rsidRPr="005B6919">
        <w:rPr>
          <w:rFonts w:eastAsiaTheme="minorEastAsia"/>
          <w:kern w:val="0"/>
          <w:szCs w:val="24"/>
          <w14:ligatures w14:val="none"/>
          <w14:numSpacing w14:val="default"/>
        </w:rPr>
        <w:t>their land and marine areas of their territories for, among others, food, social and</w:t>
      </w:r>
      <w:r>
        <w:rPr>
          <w:rFonts w:eastAsiaTheme="minorEastAsia"/>
          <w:kern w:val="0"/>
          <w:szCs w:val="24"/>
          <w14:ligatures w14:val="none"/>
          <w14:numSpacing w14:val="default"/>
        </w:rPr>
        <w:t xml:space="preserve"> </w:t>
      </w:r>
      <w:r w:rsidRPr="005B6919">
        <w:rPr>
          <w:rFonts w:eastAsiaTheme="minorEastAsia"/>
          <w:kern w:val="0"/>
          <w:szCs w:val="24"/>
          <w14:ligatures w14:val="none"/>
          <w14:numSpacing w14:val="default"/>
        </w:rPr>
        <w:t>ceremonial purposes. Traditional harvesting w</w:t>
      </w:r>
      <w:r w:rsidR="00B62585">
        <w:rPr>
          <w:rFonts w:eastAsiaTheme="minorEastAsia"/>
          <w:kern w:val="0"/>
          <w:szCs w:val="24"/>
          <w14:ligatures w14:val="none"/>
          <w14:numSpacing w14:val="default"/>
        </w:rPr>
        <w:t>as and remains integral to our</w:t>
      </w:r>
      <w:r w:rsidRPr="005B6919">
        <w:rPr>
          <w:rFonts w:eastAsiaTheme="minorEastAsia"/>
          <w:kern w:val="0"/>
          <w:szCs w:val="24"/>
          <w14:ligatures w14:val="none"/>
          <w14:numSpacing w14:val="default"/>
        </w:rPr>
        <w:t xml:space="preserve"> distinctive</w:t>
      </w:r>
      <w:r>
        <w:rPr>
          <w:rFonts w:eastAsiaTheme="minorEastAsia"/>
          <w:kern w:val="0"/>
          <w:szCs w:val="24"/>
          <w14:ligatures w14:val="none"/>
          <w14:numSpacing w14:val="default"/>
        </w:rPr>
        <w:t xml:space="preserve"> </w:t>
      </w:r>
      <w:r w:rsidR="00B62585">
        <w:rPr>
          <w:rFonts w:eastAsiaTheme="minorEastAsia"/>
          <w:kern w:val="0"/>
          <w:szCs w:val="24"/>
          <w14:ligatures w14:val="none"/>
          <w14:numSpacing w14:val="default"/>
        </w:rPr>
        <w:t>culture</w:t>
      </w:r>
      <w:r w:rsidRPr="005B6919">
        <w:rPr>
          <w:rFonts w:eastAsiaTheme="minorEastAsia"/>
          <w:kern w:val="0"/>
          <w:szCs w:val="24"/>
          <w14:ligatures w14:val="none"/>
          <w14:numSpacing w14:val="default"/>
        </w:rPr>
        <w:t>.</w:t>
      </w:r>
    </w:p>
    <w:p w14:paraId="400B7D47" w14:textId="77777777" w:rsidR="005B6919" w:rsidRPr="003A3BDE" w:rsidRDefault="005B6919" w:rsidP="00177B40">
      <w:pPr>
        <w:pStyle w:val="Numbered"/>
        <w:ind w:hanging="720"/>
      </w:pPr>
      <w:r w:rsidRPr="00F75233">
        <w:rPr>
          <w:rFonts w:eastAsiaTheme="minorEastAsia"/>
          <w:kern w:val="0"/>
          <w:szCs w:val="24"/>
          <w14:ligatures w14:val="none"/>
          <w14:numSpacing w14:val="default"/>
        </w:rPr>
        <w:t xml:space="preserve">Marine species that </w:t>
      </w:r>
      <w:r w:rsidR="00B62585">
        <w:rPr>
          <w:rFonts w:eastAsiaTheme="minorEastAsia"/>
          <w:kern w:val="0"/>
          <w:szCs w:val="24"/>
          <w14:ligatures w14:val="none"/>
          <w14:numSpacing w14:val="default"/>
        </w:rPr>
        <w:t>we have</w:t>
      </w:r>
      <w:r w:rsidRPr="00F75233">
        <w:rPr>
          <w:rFonts w:eastAsiaTheme="minorEastAsia"/>
          <w:kern w:val="0"/>
          <w:szCs w:val="24"/>
          <w14:ligatures w14:val="none"/>
          <w14:numSpacing w14:val="default"/>
        </w:rPr>
        <w:t xml:space="preserve"> traditionally harvested include salmon, halibut, </w:t>
      </w:r>
      <w:r w:rsidRPr="00177B40">
        <w:t>ground</w:t>
      </w:r>
      <w:r w:rsidRPr="00F75233">
        <w:rPr>
          <w:rFonts w:eastAsiaTheme="minorEastAsia"/>
          <w:kern w:val="0"/>
          <w:szCs w:val="24"/>
          <w14:ligatures w14:val="none"/>
          <w14:numSpacing w14:val="default"/>
        </w:rPr>
        <w:t xml:space="preserve"> fish, shellfish (including crabs, prawn, shrimp, clams and oysters), sea urchins, sea cucumbers, herring, herring spawn-on-kelp, eulachon, abalone, and seaweed. </w:t>
      </w:r>
      <w:r w:rsidR="00B62585">
        <w:rPr>
          <w:rFonts w:eastAsiaTheme="minorEastAsia"/>
          <w:kern w:val="0"/>
          <w:szCs w:val="24"/>
          <w14:ligatures w14:val="none"/>
          <w14:numSpacing w14:val="default"/>
        </w:rPr>
        <w:t>We</w:t>
      </w:r>
      <w:r w:rsidRPr="00F75233">
        <w:rPr>
          <w:rFonts w:eastAsiaTheme="minorEastAsia"/>
          <w:kern w:val="0"/>
          <w:szCs w:val="24"/>
          <w14:ligatures w14:val="none"/>
          <w14:numSpacing w14:val="default"/>
        </w:rPr>
        <w:t xml:space="preserve"> assert and exercise Aboriginal rights to harvest marine life, based on practices of harvesting for food, social and ceremonial (“FSC”) purposes, and in some cases for trading purposes. Heiltsuk established an Aboriginal right to harvest herring</w:t>
      </w:r>
      <w:r w:rsidR="00C654C4">
        <w:t xml:space="preserve"> </w:t>
      </w:r>
      <w:r w:rsidRPr="00F75233">
        <w:rPr>
          <w:rFonts w:eastAsiaTheme="minorEastAsia"/>
          <w:kern w:val="0"/>
          <w:szCs w:val="24"/>
          <w14:ligatures w14:val="none"/>
          <w14:numSpacing w14:val="default"/>
        </w:rPr>
        <w:t>spawn-on-kelp for both FSC purposes, and also</w:t>
      </w:r>
      <w:r w:rsidR="00F75233" w:rsidRPr="00F75233">
        <w:rPr>
          <w:rFonts w:eastAsiaTheme="minorEastAsia"/>
          <w:kern w:val="0"/>
          <w:szCs w:val="24"/>
          <w14:ligatures w14:val="none"/>
          <w14:numSpacing w14:val="default"/>
        </w:rPr>
        <w:t xml:space="preserve"> and also for trade (i.e., commercial) purposes, in </w:t>
      </w:r>
      <w:r w:rsidR="00F75233" w:rsidRPr="00F75233">
        <w:rPr>
          <w:rFonts w:eastAsiaTheme="minorEastAsia"/>
          <w:i/>
          <w:kern w:val="0"/>
          <w:szCs w:val="24"/>
          <w14:ligatures w14:val="none"/>
          <w14:numSpacing w14:val="default"/>
        </w:rPr>
        <w:t>R. v. Gladstone</w:t>
      </w:r>
      <w:r w:rsidR="00F75233" w:rsidRPr="00F75233">
        <w:rPr>
          <w:rFonts w:eastAsiaTheme="minorEastAsia"/>
          <w:kern w:val="0"/>
          <w:szCs w:val="24"/>
          <w14:ligatures w14:val="none"/>
          <w14:numSpacing w14:val="default"/>
        </w:rPr>
        <w:t>, [1996] 2 S.C.R. 723.</w:t>
      </w:r>
      <w:r w:rsidR="00D11F25">
        <w:rPr>
          <w:rFonts w:eastAsiaTheme="minorEastAsia"/>
          <w:kern w:val="0"/>
          <w:szCs w:val="24"/>
          <w14:ligatures w14:val="none"/>
          <w14:numSpacing w14:val="default"/>
        </w:rPr>
        <w:t xml:space="preserve"> Furthermore, we assert rights to manage and protect marine resources and habitat</w:t>
      </w:r>
      <w:r w:rsidR="00172B5E">
        <w:rPr>
          <w:rFonts w:eastAsiaTheme="minorEastAsia"/>
          <w:kern w:val="0"/>
          <w:szCs w:val="24"/>
          <w14:ligatures w14:val="none"/>
          <w14:numSpacing w14:val="default"/>
        </w:rPr>
        <w:t>s</w:t>
      </w:r>
      <w:r w:rsidR="00D11F25">
        <w:rPr>
          <w:rFonts w:eastAsiaTheme="minorEastAsia"/>
          <w:kern w:val="0"/>
          <w:szCs w:val="24"/>
          <w14:ligatures w14:val="none"/>
          <w14:numSpacing w14:val="default"/>
        </w:rPr>
        <w:t xml:space="preserve"> within our </w:t>
      </w:r>
      <w:r w:rsidR="00172B5E">
        <w:rPr>
          <w:rFonts w:eastAsiaTheme="minorEastAsia"/>
          <w:kern w:val="0"/>
          <w:szCs w:val="24"/>
          <w14:ligatures w14:val="none"/>
          <w14:numSpacing w14:val="default"/>
        </w:rPr>
        <w:t xml:space="preserve">traditional </w:t>
      </w:r>
      <w:r w:rsidR="00D11F25">
        <w:rPr>
          <w:rFonts w:eastAsiaTheme="minorEastAsia"/>
          <w:kern w:val="0"/>
          <w:szCs w:val="24"/>
          <w14:ligatures w14:val="none"/>
          <w14:numSpacing w14:val="default"/>
        </w:rPr>
        <w:t xml:space="preserve">territorial waters as an essential </w:t>
      </w:r>
      <w:r w:rsidR="00172B5E">
        <w:rPr>
          <w:rFonts w:eastAsiaTheme="minorEastAsia"/>
          <w:kern w:val="0"/>
          <w:szCs w:val="24"/>
          <w14:ligatures w14:val="none"/>
          <w14:numSpacing w14:val="default"/>
        </w:rPr>
        <w:t xml:space="preserve">aspect of our right of </w:t>
      </w:r>
      <w:r w:rsidR="00D11F25">
        <w:rPr>
          <w:rFonts w:eastAsiaTheme="minorEastAsia"/>
          <w:kern w:val="0"/>
          <w:szCs w:val="24"/>
          <w14:ligatures w14:val="none"/>
          <w14:numSpacing w14:val="default"/>
        </w:rPr>
        <w:t xml:space="preserve">Indigenous </w:t>
      </w:r>
      <w:r w:rsidR="00172B5E">
        <w:rPr>
          <w:rFonts w:eastAsiaTheme="minorEastAsia"/>
          <w:kern w:val="0"/>
          <w:szCs w:val="24"/>
          <w14:ligatures w14:val="none"/>
          <w14:numSpacing w14:val="default"/>
        </w:rPr>
        <w:t>self-</w:t>
      </w:r>
      <w:r w:rsidR="00D11F25">
        <w:rPr>
          <w:rFonts w:eastAsiaTheme="minorEastAsia"/>
          <w:kern w:val="0"/>
          <w:szCs w:val="24"/>
          <w14:ligatures w14:val="none"/>
          <w14:numSpacing w14:val="default"/>
        </w:rPr>
        <w:t xml:space="preserve">government. </w:t>
      </w:r>
    </w:p>
    <w:p w14:paraId="13D1D8B3" w14:textId="77777777" w:rsidR="003A3BDE" w:rsidRPr="003A3BDE" w:rsidRDefault="003A3BDE" w:rsidP="00177B40">
      <w:pPr>
        <w:pStyle w:val="Numbered"/>
        <w:ind w:hanging="720"/>
      </w:pPr>
      <w:r>
        <w:rPr>
          <w:rFonts w:eastAsiaTheme="minorEastAsia"/>
          <w:kern w:val="0"/>
          <w:szCs w:val="24"/>
          <w14:ligatures w14:val="none"/>
          <w14:numSpacing w14:val="default"/>
        </w:rPr>
        <w:t xml:space="preserve">Currently, Canadian marine legislation excludes participation by First Nations and fails to recognize their </w:t>
      </w:r>
      <w:r w:rsidR="00CC7749">
        <w:rPr>
          <w:rFonts w:eastAsiaTheme="minorEastAsia"/>
          <w:kern w:val="0"/>
          <w:szCs w:val="24"/>
          <w14:ligatures w14:val="none"/>
          <w14:numSpacing w14:val="default"/>
        </w:rPr>
        <w:t xml:space="preserve">jurisdiction, </w:t>
      </w:r>
      <w:r>
        <w:rPr>
          <w:rFonts w:eastAsiaTheme="minorEastAsia"/>
          <w:kern w:val="0"/>
          <w:szCs w:val="24"/>
          <w14:ligatures w14:val="none"/>
          <w14:numSpacing w14:val="default"/>
        </w:rPr>
        <w:t>despite the direct impacts o</w:t>
      </w:r>
      <w:r w:rsidR="000C3A4C">
        <w:rPr>
          <w:rFonts w:eastAsiaTheme="minorEastAsia"/>
          <w:kern w:val="0"/>
          <w:szCs w:val="24"/>
          <w14:ligatures w14:val="none"/>
          <w14:numSpacing w14:val="default"/>
        </w:rPr>
        <w:t>f marine legislation on A</w:t>
      </w:r>
      <w:r>
        <w:rPr>
          <w:rFonts w:eastAsiaTheme="minorEastAsia"/>
          <w:kern w:val="0"/>
          <w:szCs w:val="24"/>
          <w14:ligatures w14:val="none"/>
          <w14:numSpacing w14:val="default"/>
        </w:rPr>
        <w:t xml:space="preserve">boriginal </w:t>
      </w:r>
      <w:r w:rsidR="000C3A4C">
        <w:rPr>
          <w:rFonts w:eastAsiaTheme="minorEastAsia"/>
          <w:kern w:val="0"/>
          <w:szCs w:val="24"/>
          <w14:ligatures w14:val="none"/>
          <w14:numSpacing w14:val="default"/>
        </w:rPr>
        <w:t xml:space="preserve">title and </w:t>
      </w:r>
      <w:r>
        <w:rPr>
          <w:rFonts w:eastAsiaTheme="minorEastAsia"/>
          <w:kern w:val="0"/>
          <w:szCs w:val="24"/>
          <w14:ligatures w14:val="none"/>
          <w14:numSpacing w14:val="default"/>
        </w:rPr>
        <w:t>rights</w:t>
      </w:r>
      <w:r w:rsidR="008730E2">
        <w:rPr>
          <w:rFonts w:eastAsiaTheme="minorEastAsia"/>
          <w:kern w:val="0"/>
          <w:szCs w:val="24"/>
          <w14:ligatures w14:val="none"/>
          <w14:numSpacing w14:val="default"/>
        </w:rPr>
        <w:t>, including their rights to co-manage their territories</w:t>
      </w:r>
      <w:r>
        <w:rPr>
          <w:rFonts w:eastAsiaTheme="minorEastAsia"/>
          <w:kern w:val="0"/>
          <w:szCs w:val="24"/>
          <w14:ligatures w14:val="none"/>
          <w14:numSpacing w14:val="default"/>
        </w:rPr>
        <w:t xml:space="preserve">. The </w:t>
      </w:r>
      <w:r w:rsidRPr="003A3BDE">
        <w:rPr>
          <w:rFonts w:eastAsiaTheme="minorEastAsia"/>
          <w:i/>
          <w:kern w:val="0"/>
          <w:szCs w:val="24"/>
          <w14:ligatures w14:val="none"/>
          <w14:numSpacing w14:val="default"/>
        </w:rPr>
        <w:t>Pilotage Act</w:t>
      </w:r>
      <w:r>
        <w:rPr>
          <w:rFonts w:eastAsiaTheme="minorEastAsia"/>
          <w:kern w:val="0"/>
          <w:szCs w:val="24"/>
          <w14:ligatures w14:val="none"/>
          <w14:numSpacing w14:val="default"/>
        </w:rPr>
        <w:t xml:space="preserve"> is part of a suite of federal statutes that must be amended to recognize the power and duty of First Nations to steward their marine territories. Prime Minister Trudeau has committed the Crown to reconciliation with First </w:t>
      </w:r>
      <w:r>
        <w:rPr>
          <w:rFonts w:eastAsiaTheme="minorEastAsia"/>
          <w:kern w:val="0"/>
          <w:szCs w:val="24"/>
          <w14:ligatures w14:val="none"/>
          <w14:numSpacing w14:val="default"/>
        </w:rPr>
        <w:lastRenderedPageBreak/>
        <w:t xml:space="preserve">Nations peoples. In addition to adopting principles respecting the Government of Canada’s relationship with Indigenous peoples, to guide reviews of laws, policies and operational practices, the government further announced in November 2017 that it supported full implementation </w:t>
      </w:r>
      <w:r w:rsidRPr="00A80462">
        <w:rPr>
          <w:rFonts w:eastAsiaTheme="minorEastAsia"/>
          <w:kern w:val="0"/>
          <w:szCs w:val="24"/>
          <w14:ligatures w14:val="none"/>
          <w14:numSpacing w14:val="default"/>
        </w:rPr>
        <w:t xml:space="preserve">of the United Nations </w:t>
      </w:r>
      <w:r>
        <w:t>Declaration on the Rights of Indigenous Peoples (UNDRIP), and alignment of the laws of Canada with UNDRIP</w:t>
      </w:r>
      <w:r w:rsidRPr="00FF6414">
        <w:rPr>
          <w:rFonts w:eastAsiaTheme="minorEastAsia"/>
          <w:kern w:val="0"/>
          <w:szCs w:val="24"/>
          <w14:ligatures w14:val="none"/>
          <w14:numSpacing w14:val="default"/>
        </w:rPr>
        <w:t>.</w:t>
      </w:r>
      <w:r>
        <w:rPr>
          <w:rFonts w:eastAsiaTheme="minorEastAsia"/>
          <w:kern w:val="0"/>
          <w:szCs w:val="24"/>
          <w14:ligatures w14:val="none"/>
          <w14:numSpacing w14:val="default"/>
        </w:rPr>
        <w:t xml:space="preserve"> Even more recently, the government announced its intention to recognize Indigenous rights, including Indigenous self-determination and the inherent right of self-government. </w:t>
      </w:r>
    </w:p>
    <w:p w14:paraId="7472FE93" w14:textId="77777777" w:rsidR="005243D1" w:rsidRPr="006216EE" w:rsidRDefault="003A3BDE" w:rsidP="00177B40">
      <w:pPr>
        <w:pStyle w:val="Numbered"/>
        <w:ind w:hanging="720"/>
      </w:pPr>
      <w:r w:rsidRPr="00177B40">
        <w:t>Heiltsuk</w:t>
      </w:r>
      <w:r>
        <w:rPr>
          <w:rFonts w:eastAsiaTheme="minorEastAsia"/>
          <w:kern w:val="0"/>
          <w:szCs w:val="24"/>
          <w14:ligatures w14:val="none"/>
          <w14:numSpacing w14:val="default"/>
        </w:rPr>
        <w:t xml:space="preserve"> is hopeful that this review process and its submissions will manifest in amendments to the </w:t>
      </w:r>
      <w:r w:rsidRPr="003A3BDE">
        <w:rPr>
          <w:rFonts w:eastAsiaTheme="minorEastAsia"/>
          <w:i/>
          <w:kern w:val="0"/>
          <w:szCs w:val="24"/>
          <w14:ligatures w14:val="none"/>
          <w14:numSpacing w14:val="default"/>
        </w:rPr>
        <w:t>Pilotage Act</w:t>
      </w:r>
      <w:r>
        <w:rPr>
          <w:rFonts w:eastAsiaTheme="minorEastAsia"/>
          <w:kern w:val="0"/>
          <w:szCs w:val="24"/>
          <w14:ligatures w14:val="none"/>
          <w14:numSpacing w14:val="default"/>
        </w:rPr>
        <w:t xml:space="preserve"> that reflect Prime Minister Trudeau’s renewed commitment to reconciliation. </w:t>
      </w:r>
    </w:p>
    <w:p w14:paraId="7A9D4C67" w14:textId="77777777" w:rsidR="00F054D2" w:rsidRPr="00F75233" w:rsidRDefault="00F054D2" w:rsidP="00F054D2">
      <w:pPr>
        <w:pStyle w:val="Heading2"/>
      </w:pPr>
      <w:bookmarkStart w:id="3" w:name="_Toc507508238"/>
      <w:r>
        <w:t xml:space="preserve">The </w:t>
      </w:r>
      <w:r>
        <w:rPr>
          <w:i/>
        </w:rPr>
        <w:t>Nathan E. Stewart</w:t>
      </w:r>
      <w:bookmarkEnd w:id="3"/>
      <w:r>
        <w:t xml:space="preserve"> </w:t>
      </w:r>
    </w:p>
    <w:p w14:paraId="7F89071F" w14:textId="77777777" w:rsidR="00B62585" w:rsidRPr="00B62585" w:rsidRDefault="00B62585" w:rsidP="00177B40">
      <w:pPr>
        <w:pStyle w:val="Numbered"/>
        <w:ind w:hanging="720"/>
        <w:rPr>
          <w:rFonts w:eastAsiaTheme="minorEastAsia"/>
          <w:kern w:val="0"/>
          <w:szCs w:val="24"/>
          <w14:ligatures w14:val="none"/>
          <w14:numSpacing w14:val="default"/>
        </w:rPr>
      </w:pPr>
      <w:r w:rsidRPr="00177B40">
        <w:t>The vulnerability of our marine territories to ship-source pollution accidents was recently</w:t>
      </w:r>
      <w:r>
        <w:rPr>
          <w:rFonts w:eastAsiaTheme="minorEastAsia"/>
          <w:kern w:val="0"/>
          <w:szCs w:val="24"/>
          <w14:ligatures w14:val="none"/>
          <w14:numSpacing w14:val="default"/>
        </w:rPr>
        <w:t xml:space="preserve"> illustrated by a devastating oil spill in one of our key harvesting areas. </w:t>
      </w:r>
    </w:p>
    <w:p w14:paraId="46E32C45" w14:textId="77777777" w:rsidR="00F054D2" w:rsidRPr="00F054D2" w:rsidRDefault="00B62585" w:rsidP="00177B40">
      <w:pPr>
        <w:pStyle w:val="Numbered"/>
        <w:ind w:hanging="720"/>
        <w:rPr>
          <w:rFonts w:eastAsiaTheme="minorEastAsia"/>
          <w:kern w:val="0"/>
          <w:szCs w:val="24"/>
          <w14:ligatures w14:val="none"/>
          <w14:numSpacing w14:val="default"/>
        </w:rPr>
      </w:pPr>
      <w:r>
        <w:rPr>
          <w:rFonts w:eastAsiaTheme="minorEastAsia"/>
        </w:rPr>
        <w:t>In October 13, 2016</w:t>
      </w:r>
      <w:r w:rsidR="00F75233">
        <w:rPr>
          <w:rFonts w:eastAsiaTheme="minorEastAsia"/>
        </w:rPr>
        <w:t xml:space="preserve">, an articulated-tug barge (“ATB”) </w:t>
      </w:r>
      <w:r w:rsidR="00CA1EAB">
        <w:rPr>
          <w:rFonts w:eastAsiaTheme="minorEastAsia"/>
        </w:rPr>
        <w:t xml:space="preserve">ran aground in the Seaforth </w:t>
      </w:r>
      <w:r w:rsidR="00CA1EAB" w:rsidRPr="00177B40">
        <w:t>Channel</w:t>
      </w:r>
      <w:r w:rsidR="00CA1EAB">
        <w:rPr>
          <w:rFonts w:eastAsiaTheme="minorEastAsia"/>
        </w:rPr>
        <w:t xml:space="preserve"> while </w:t>
      </w:r>
      <w:r w:rsidR="00F75233">
        <w:rPr>
          <w:rFonts w:eastAsiaTheme="minorEastAsia"/>
        </w:rPr>
        <w:t>operating under a waiver granted by the Pacific Pilotage Authority (“PPA</w:t>
      </w:r>
      <w:r w:rsidR="00F054D2">
        <w:rPr>
          <w:rFonts w:eastAsiaTheme="minorEastAsia"/>
        </w:rPr>
        <w:t>”)</w:t>
      </w:r>
      <w:r w:rsidR="0044390E">
        <w:rPr>
          <w:rFonts w:eastAsiaTheme="minorEastAsia"/>
        </w:rPr>
        <w:t>,</w:t>
      </w:r>
      <w:r w:rsidR="00F054D2">
        <w:rPr>
          <w:rFonts w:eastAsiaTheme="minorEastAsia"/>
        </w:rPr>
        <w:t xml:space="preserve"> The </w:t>
      </w:r>
      <w:r w:rsidR="000F54D9">
        <w:rPr>
          <w:rFonts w:eastAsiaTheme="minorEastAsia"/>
        </w:rPr>
        <w:t xml:space="preserve">oil barge was empty, but the tug </w:t>
      </w:r>
      <w:r w:rsidR="0044390E">
        <w:rPr>
          <w:rFonts w:eastAsiaTheme="minorEastAsia"/>
        </w:rPr>
        <w:t xml:space="preserve">itself </w:t>
      </w:r>
      <w:r w:rsidR="00292970">
        <w:rPr>
          <w:rFonts w:eastAsiaTheme="minorEastAsia"/>
        </w:rPr>
        <w:t xml:space="preserve">– the </w:t>
      </w:r>
      <w:r w:rsidR="00292970" w:rsidRPr="00292970">
        <w:rPr>
          <w:rFonts w:eastAsiaTheme="minorEastAsia"/>
          <w:i/>
        </w:rPr>
        <w:t>Nathan E. Stewart</w:t>
      </w:r>
      <w:r w:rsidR="00292970">
        <w:rPr>
          <w:rFonts w:eastAsiaTheme="minorEastAsia"/>
        </w:rPr>
        <w:t xml:space="preserve"> – </w:t>
      </w:r>
      <w:r w:rsidR="000F54D9">
        <w:rPr>
          <w:rFonts w:eastAsiaTheme="minorEastAsia"/>
        </w:rPr>
        <w:t>grounded, and</w:t>
      </w:r>
      <w:r w:rsidR="003E4E79">
        <w:rPr>
          <w:rFonts w:eastAsiaTheme="minorEastAsia"/>
          <w:kern w:val="0"/>
          <w:szCs w:val="24"/>
          <w14:ligatures w14:val="none"/>
          <w14:numSpacing w14:val="default"/>
        </w:rPr>
        <w:t xml:space="preserve"> l</w:t>
      </w:r>
      <w:r w:rsidR="00F054D2" w:rsidRPr="00F054D2">
        <w:rPr>
          <w:rFonts w:eastAsiaTheme="minorEastAsia"/>
          <w:kern w:val="0"/>
          <w:szCs w:val="24"/>
          <w14:ligatures w14:val="none"/>
          <w14:numSpacing w14:val="default"/>
        </w:rPr>
        <w:t xml:space="preserve">eaked </w:t>
      </w:r>
      <w:r w:rsidR="003E4E79">
        <w:rPr>
          <w:rFonts w:eastAsiaTheme="minorEastAsia"/>
          <w:kern w:val="0"/>
          <w:szCs w:val="24"/>
          <w14:ligatures w14:val="none"/>
          <w14:numSpacing w14:val="default"/>
        </w:rPr>
        <w:t>over</w:t>
      </w:r>
      <w:r w:rsidR="00F054D2" w:rsidRPr="00F054D2">
        <w:rPr>
          <w:rFonts w:eastAsiaTheme="minorEastAsia"/>
          <w:kern w:val="0"/>
          <w:szCs w:val="24"/>
          <w14:ligatures w14:val="none"/>
          <w14:numSpacing w14:val="default"/>
        </w:rPr>
        <w:t xml:space="preserve"> </w:t>
      </w:r>
      <w:r w:rsidR="003E4E79">
        <w:rPr>
          <w:rFonts w:eastAsiaTheme="minorEastAsia"/>
          <w:kern w:val="0"/>
          <w:szCs w:val="24"/>
          <w14:ligatures w14:val="none"/>
          <w14:numSpacing w14:val="default"/>
        </w:rPr>
        <w:t>1</w:t>
      </w:r>
      <w:r w:rsidR="00F054D2" w:rsidRPr="00F054D2">
        <w:rPr>
          <w:rFonts w:eastAsiaTheme="minorEastAsia"/>
          <w:kern w:val="0"/>
          <w:szCs w:val="24"/>
          <w14:ligatures w14:val="none"/>
          <w14:numSpacing w14:val="default"/>
        </w:rPr>
        <w:t>00,000 litres of diesel and other types of oil and lubricants into the Pacific Ocean.</w:t>
      </w:r>
    </w:p>
    <w:p w14:paraId="14261E39" w14:textId="77777777" w:rsidR="00F054D2" w:rsidRPr="00F054D2" w:rsidRDefault="00F054D2" w:rsidP="00177B40">
      <w:pPr>
        <w:pStyle w:val="Numbered"/>
        <w:ind w:hanging="720"/>
        <w:rPr>
          <w:rFonts w:eastAsiaTheme="minorEastAsia"/>
          <w:kern w:val="0"/>
          <w:szCs w:val="24"/>
          <w14:ligatures w14:val="none"/>
          <w14:numSpacing w14:val="default"/>
        </w:rPr>
      </w:pPr>
      <w:r w:rsidRPr="00F054D2">
        <w:rPr>
          <w:rFonts w:eastAsiaTheme="minorEastAsia"/>
          <w:kern w:val="0"/>
          <w:szCs w:val="24"/>
          <w14:ligatures w14:val="none"/>
          <w14:numSpacing w14:val="default"/>
        </w:rPr>
        <w:t xml:space="preserve">The area </w:t>
      </w:r>
      <w:r w:rsidR="0044390E">
        <w:rPr>
          <w:rFonts w:eastAsiaTheme="minorEastAsia"/>
          <w:kern w:val="0"/>
          <w:szCs w:val="24"/>
          <w14:ligatures w14:val="none"/>
          <w14:numSpacing w14:val="default"/>
        </w:rPr>
        <w:t>where</w:t>
      </w:r>
      <w:r w:rsidRPr="00F054D2">
        <w:rPr>
          <w:rFonts w:eastAsiaTheme="minorEastAsia"/>
          <w:kern w:val="0"/>
          <w:szCs w:val="24"/>
          <w14:ligatures w14:val="none"/>
          <w14:numSpacing w14:val="default"/>
        </w:rPr>
        <w:t xml:space="preserve"> the </w:t>
      </w:r>
      <w:r w:rsidR="0044390E">
        <w:rPr>
          <w:rFonts w:eastAsiaTheme="minorEastAsia"/>
          <w:kern w:val="0"/>
          <w:szCs w:val="24"/>
          <w14:ligatures w14:val="none"/>
          <w14:numSpacing w14:val="default"/>
        </w:rPr>
        <w:t>ac</w:t>
      </w:r>
      <w:r w:rsidRPr="00F054D2">
        <w:rPr>
          <w:rFonts w:eastAsiaTheme="minorEastAsia"/>
          <w:kern w:val="0"/>
          <w:szCs w:val="24"/>
          <w14:ligatures w14:val="none"/>
          <w14:numSpacing w14:val="default"/>
        </w:rPr>
        <w:t xml:space="preserve">cident occurred is a major traditional and commercial </w:t>
      </w:r>
      <w:r w:rsidR="006B13F6">
        <w:rPr>
          <w:rFonts w:eastAsiaTheme="minorEastAsia"/>
          <w:kern w:val="0"/>
          <w:szCs w:val="24"/>
          <w14:ligatures w14:val="none"/>
          <w14:numSpacing w14:val="default"/>
        </w:rPr>
        <w:t xml:space="preserve">marine </w:t>
      </w:r>
      <w:r w:rsidRPr="00F054D2">
        <w:rPr>
          <w:rFonts w:eastAsiaTheme="minorEastAsia"/>
          <w:kern w:val="0"/>
          <w:szCs w:val="24"/>
          <w14:ligatures w14:val="none"/>
          <w14:numSpacing w14:val="default"/>
        </w:rPr>
        <w:t>harvesting area</w:t>
      </w:r>
      <w:r w:rsidR="006B13F6">
        <w:rPr>
          <w:rFonts w:eastAsiaTheme="minorEastAsia"/>
          <w:kern w:val="0"/>
          <w:szCs w:val="24"/>
          <w14:ligatures w14:val="none"/>
          <w14:numSpacing w14:val="default"/>
        </w:rPr>
        <w:t xml:space="preserve">. Heiltsuk harvests many species from the area, </w:t>
      </w:r>
      <w:r w:rsidRPr="00F054D2">
        <w:rPr>
          <w:rFonts w:eastAsiaTheme="minorEastAsia"/>
          <w:kern w:val="0"/>
          <w:szCs w:val="24"/>
          <w14:ligatures w14:val="none"/>
          <w14:numSpacing w14:val="default"/>
        </w:rPr>
        <w:t xml:space="preserve">including abalone, black cod, clams, cockles, crabs, halibut, herring, SOK, lingcod, prawns, rock cod, red snapper, salmon, salmon eggs, sea cucumber, sea urchin and seaweed. </w:t>
      </w:r>
      <w:r w:rsidRPr="006216EE">
        <w:rPr>
          <w:rFonts w:eastAsiaTheme="minorEastAsia"/>
          <w:kern w:val="0"/>
          <w:szCs w:val="24"/>
          <w14:ligatures w14:val="none"/>
          <w14:numSpacing w14:val="default"/>
        </w:rPr>
        <w:t xml:space="preserve">As a result, the area has been closed </w:t>
      </w:r>
      <w:r w:rsidR="00132041" w:rsidRPr="006216EE">
        <w:rPr>
          <w:rFonts w:eastAsiaTheme="minorEastAsia"/>
          <w:kern w:val="0"/>
          <w:szCs w:val="24"/>
          <w14:ligatures w14:val="none"/>
          <w14:numSpacing w14:val="default"/>
        </w:rPr>
        <w:t xml:space="preserve">by DFO </w:t>
      </w:r>
      <w:r w:rsidRPr="006216EE">
        <w:rPr>
          <w:rFonts w:eastAsiaTheme="minorEastAsia"/>
          <w:kern w:val="0"/>
          <w:szCs w:val="24"/>
          <w14:ligatures w14:val="none"/>
          <w14:numSpacing w14:val="default"/>
        </w:rPr>
        <w:t xml:space="preserve">to all shellfish </w:t>
      </w:r>
      <w:r w:rsidR="00C70A4C" w:rsidRPr="006216EE">
        <w:rPr>
          <w:rFonts w:eastAsiaTheme="minorEastAsia"/>
          <w:kern w:val="0"/>
          <w:szCs w:val="24"/>
          <w14:ligatures w14:val="none"/>
          <w14:numSpacing w14:val="default"/>
        </w:rPr>
        <w:t>harvesting</w:t>
      </w:r>
      <w:r w:rsidR="00132041" w:rsidRPr="006216EE">
        <w:rPr>
          <w:rFonts w:eastAsiaTheme="minorEastAsia"/>
          <w:kern w:val="0"/>
          <w:szCs w:val="24"/>
          <w14:ligatures w14:val="none"/>
          <w14:numSpacing w14:val="default"/>
        </w:rPr>
        <w:t>,</w:t>
      </w:r>
      <w:r w:rsidR="00C70A4C" w:rsidRPr="006216EE">
        <w:rPr>
          <w:rFonts w:eastAsiaTheme="minorEastAsia"/>
          <w:kern w:val="0"/>
          <w:szCs w:val="24"/>
          <w14:ligatures w14:val="none"/>
          <w14:numSpacing w14:val="default"/>
        </w:rPr>
        <w:t xml:space="preserve"> initially closed to </w:t>
      </w:r>
      <w:r w:rsidR="008E26D3">
        <w:rPr>
          <w:rFonts w:eastAsiaTheme="minorEastAsia"/>
          <w:kern w:val="0"/>
          <w:szCs w:val="24"/>
          <w14:ligatures w14:val="none"/>
          <w14:numSpacing w14:val="default"/>
        </w:rPr>
        <w:t xml:space="preserve">sea </w:t>
      </w:r>
      <w:r w:rsidRPr="006216EE">
        <w:rPr>
          <w:rFonts w:eastAsiaTheme="minorEastAsia"/>
          <w:kern w:val="0"/>
          <w:szCs w:val="24"/>
          <w14:ligatures w14:val="none"/>
          <w14:numSpacing w14:val="default"/>
        </w:rPr>
        <w:t>cucumber harvesting</w:t>
      </w:r>
      <w:r w:rsidR="00132041" w:rsidRPr="006216EE">
        <w:rPr>
          <w:rFonts w:eastAsiaTheme="minorEastAsia"/>
          <w:kern w:val="0"/>
          <w:szCs w:val="24"/>
          <w14:ligatures w14:val="none"/>
          <w14:numSpacing w14:val="default"/>
        </w:rPr>
        <w:t>,</w:t>
      </w:r>
      <w:r w:rsidRPr="006216EE">
        <w:rPr>
          <w:rFonts w:eastAsiaTheme="minorEastAsia"/>
          <w:kern w:val="0"/>
          <w:szCs w:val="24"/>
          <w14:ligatures w14:val="none"/>
          <w14:numSpacing w14:val="default"/>
        </w:rPr>
        <w:t xml:space="preserve"> and </w:t>
      </w:r>
      <w:r w:rsidR="00132041" w:rsidRPr="006216EE">
        <w:rPr>
          <w:rFonts w:eastAsiaTheme="minorEastAsia"/>
          <w:kern w:val="0"/>
          <w:szCs w:val="24"/>
          <w14:ligatures w14:val="none"/>
          <w14:numSpacing w14:val="default"/>
        </w:rPr>
        <w:t xml:space="preserve">also has </w:t>
      </w:r>
      <w:r w:rsidRPr="006216EE">
        <w:rPr>
          <w:rFonts w:eastAsiaTheme="minorEastAsia"/>
          <w:kern w:val="0"/>
          <w:szCs w:val="24"/>
          <w14:ligatures w14:val="none"/>
          <w14:numSpacing w14:val="default"/>
        </w:rPr>
        <w:t>caused an additional closure of the crab fishery.</w:t>
      </w:r>
      <w:r w:rsidRPr="00F054D2">
        <w:rPr>
          <w:rFonts w:eastAsiaTheme="minorEastAsia"/>
          <w:kern w:val="0"/>
          <w:szCs w:val="24"/>
          <w14:ligatures w14:val="none"/>
          <w14:numSpacing w14:val="default"/>
        </w:rPr>
        <w:t xml:space="preserve"> </w:t>
      </w:r>
      <w:r w:rsidR="008875AE">
        <w:rPr>
          <w:rFonts w:eastAsiaTheme="minorEastAsia"/>
          <w:kern w:val="0"/>
          <w:szCs w:val="24"/>
          <w14:ligatures w14:val="none"/>
          <w14:numSpacing w14:val="default"/>
        </w:rPr>
        <w:t xml:space="preserve">Heiltsuk has instituted a closure for the impacted area for FSC harvesting. </w:t>
      </w:r>
      <w:r w:rsidR="001E53D7">
        <w:rPr>
          <w:rFonts w:eastAsiaTheme="minorEastAsia"/>
          <w:kern w:val="0"/>
          <w:szCs w:val="24"/>
          <w14:ligatures w14:val="none"/>
          <w14:numSpacing w14:val="default"/>
        </w:rPr>
        <w:t>Various</w:t>
      </w:r>
      <w:r w:rsidRPr="00F054D2">
        <w:rPr>
          <w:rFonts w:eastAsiaTheme="minorEastAsia"/>
          <w:kern w:val="0"/>
          <w:szCs w:val="24"/>
          <w14:ligatures w14:val="none"/>
          <w14:numSpacing w14:val="default"/>
        </w:rPr>
        <w:t xml:space="preserve"> marine species will suffer ill effects, and Heiltsuk’s commercial and traditional harvesting may be impacted for years.</w:t>
      </w:r>
    </w:p>
    <w:p w14:paraId="15622B4E" w14:textId="77777777" w:rsidR="00F75233" w:rsidRPr="00381FAF" w:rsidRDefault="00F054D2" w:rsidP="00177B40">
      <w:pPr>
        <w:pStyle w:val="Numbered"/>
        <w:ind w:hanging="720"/>
        <w:rPr>
          <w:rFonts w:eastAsiaTheme="minorEastAsia"/>
          <w:kern w:val="0"/>
          <w:szCs w:val="24"/>
          <w14:ligatures w14:val="none"/>
          <w14:numSpacing w14:val="default"/>
        </w:rPr>
      </w:pPr>
      <w:r w:rsidRPr="00F054D2">
        <w:rPr>
          <w:rFonts w:eastAsiaTheme="minorEastAsia"/>
          <w:kern w:val="0"/>
          <w:szCs w:val="24"/>
          <w14:ligatures w14:val="none"/>
          <w14:numSpacing w14:val="default"/>
        </w:rPr>
        <w:t xml:space="preserve">In addition to </w:t>
      </w:r>
      <w:r w:rsidR="000B5F70">
        <w:rPr>
          <w:rFonts w:eastAsiaTheme="minorEastAsia"/>
          <w:kern w:val="0"/>
          <w:szCs w:val="24"/>
          <w14:ligatures w14:val="none"/>
          <w14:numSpacing w14:val="default"/>
        </w:rPr>
        <w:t xml:space="preserve">spill impacts, the tug sank </w:t>
      </w:r>
      <w:r w:rsidRPr="00F054D2">
        <w:rPr>
          <w:rFonts w:eastAsiaTheme="minorEastAsia"/>
          <w:kern w:val="0"/>
          <w:szCs w:val="24"/>
          <w14:ligatures w14:val="none"/>
          <w14:numSpacing w14:val="default"/>
        </w:rPr>
        <w:t xml:space="preserve">in shallow waters, where a recovery barge could not travel. Recovery meant dragging the tug along the seafloor to a </w:t>
      </w:r>
      <w:r w:rsidRPr="00177B40">
        <w:t>barge</w:t>
      </w:r>
      <w:r w:rsidRPr="00F054D2">
        <w:rPr>
          <w:rFonts w:eastAsiaTheme="minorEastAsia"/>
          <w:kern w:val="0"/>
          <w:szCs w:val="24"/>
          <w14:ligatures w14:val="none"/>
          <w14:numSpacing w14:val="default"/>
        </w:rPr>
        <w:t xml:space="preserve">, where it could be lifted from the water. </w:t>
      </w:r>
      <w:r w:rsidR="00FB3981">
        <w:rPr>
          <w:rFonts w:eastAsiaTheme="minorEastAsia"/>
          <w:kern w:val="0"/>
          <w:szCs w:val="24"/>
          <w14:ligatures w14:val="none"/>
          <w14:numSpacing w14:val="default"/>
        </w:rPr>
        <w:t xml:space="preserve">The </w:t>
      </w:r>
      <w:r w:rsidR="007D7014">
        <w:rPr>
          <w:rFonts w:eastAsiaTheme="minorEastAsia"/>
          <w:kern w:val="0"/>
          <w:szCs w:val="24"/>
          <w14:ligatures w14:val="none"/>
          <w14:numSpacing w14:val="default"/>
        </w:rPr>
        <w:t>seafloor where the tug sank, and where it had to be dragged, was a habitat for endangered abalone.</w:t>
      </w:r>
    </w:p>
    <w:p w14:paraId="72240475" w14:textId="77777777" w:rsidR="00F75233" w:rsidRPr="006216EE" w:rsidRDefault="00F75233" w:rsidP="00177B40">
      <w:pPr>
        <w:pStyle w:val="Numbered"/>
        <w:ind w:hanging="720"/>
      </w:pPr>
      <w:r w:rsidRPr="00177B40">
        <w:t>The</w:t>
      </w:r>
      <w:r>
        <w:rPr>
          <w:rFonts w:eastAsiaTheme="minorEastAsia"/>
          <w:kern w:val="0"/>
          <w:szCs w:val="24"/>
          <w14:ligatures w14:val="none"/>
          <w14:numSpacing w14:val="default"/>
        </w:rPr>
        <w:t xml:space="preserve"> </w:t>
      </w:r>
      <w:r>
        <w:rPr>
          <w:rFonts w:eastAsiaTheme="minorEastAsia"/>
          <w:i/>
          <w:kern w:val="0"/>
          <w:szCs w:val="24"/>
          <w14:ligatures w14:val="none"/>
          <w14:numSpacing w14:val="default"/>
        </w:rPr>
        <w:t>Nathan E. Stewart</w:t>
      </w:r>
      <w:r>
        <w:rPr>
          <w:rFonts w:eastAsiaTheme="minorEastAsia"/>
          <w:kern w:val="0"/>
          <w:szCs w:val="24"/>
          <w14:ligatures w14:val="none"/>
          <w14:numSpacing w14:val="default"/>
        </w:rPr>
        <w:t xml:space="preserve">, along with </w:t>
      </w:r>
      <w:r w:rsidR="0045361B">
        <w:rPr>
          <w:rFonts w:eastAsiaTheme="minorEastAsia"/>
          <w:kern w:val="0"/>
          <w:szCs w:val="24"/>
          <w14:ligatures w14:val="none"/>
          <w14:numSpacing w14:val="default"/>
        </w:rPr>
        <w:t>other</w:t>
      </w:r>
      <w:r>
        <w:rPr>
          <w:rFonts w:eastAsiaTheme="minorEastAsia"/>
          <w:kern w:val="0"/>
          <w:szCs w:val="24"/>
          <w14:ligatures w14:val="none"/>
          <w14:numSpacing w14:val="default"/>
        </w:rPr>
        <w:t xml:space="preserve"> ATBs, regularly operated under waivers through Heiltsuk waters. Investigations after the spill into the tug’s operations revealed </w:t>
      </w:r>
      <w:r w:rsidR="00BB7CF1">
        <w:rPr>
          <w:rFonts w:eastAsiaTheme="minorEastAsia"/>
          <w:kern w:val="0"/>
          <w:szCs w:val="24"/>
          <w14:ligatures w14:val="none"/>
          <w14:numSpacing w14:val="default"/>
        </w:rPr>
        <w:t>inadequate</w:t>
      </w:r>
      <w:r>
        <w:rPr>
          <w:rFonts w:eastAsiaTheme="minorEastAsia"/>
          <w:kern w:val="0"/>
          <w:szCs w:val="24"/>
          <w14:ligatures w14:val="none"/>
          <w14:numSpacing w14:val="default"/>
        </w:rPr>
        <w:t xml:space="preserve"> safety practices</w:t>
      </w:r>
      <w:r w:rsidR="004507FF">
        <w:rPr>
          <w:rFonts w:eastAsiaTheme="minorEastAsia"/>
          <w:kern w:val="0"/>
          <w:szCs w:val="24"/>
          <w14:ligatures w14:val="none"/>
          <w14:numSpacing w14:val="default"/>
        </w:rPr>
        <w:t>,</w:t>
      </w:r>
      <w:r>
        <w:rPr>
          <w:rFonts w:eastAsiaTheme="minorEastAsia"/>
          <w:kern w:val="0"/>
          <w:szCs w:val="24"/>
          <w14:ligatures w14:val="none"/>
          <w14:numSpacing w14:val="default"/>
        </w:rPr>
        <w:t xml:space="preserve"> </w:t>
      </w:r>
      <w:r w:rsidR="0045361B">
        <w:rPr>
          <w:rFonts w:eastAsiaTheme="minorEastAsia"/>
          <w:kern w:val="0"/>
          <w:szCs w:val="24"/>
          <w14:ligatures w14:val="none"/>
          <w14:numSpacing w14:val="default"/>
        </w:rPr>
        <w:t xml:space="preserve">and </w:t>
      </w:r>
      <w:r w:rsidR="004507FF">
        <w:rPr>
          <w:rFonts w:eastAsiaTheme="minorEastAsia"/>
          <w:kern w:val="0"/>
          <w:szCs w:val="24"/>
          <w14:ligatures w14:val="none"/>
          <w14:numSpacing w14:val="default"/>
        </w:rPr>
        <w:t xml:space="preserve">reckless or </w:t>
      </w:r>
      <w:r w:rsidR="0045361B">
        <w:rPr>
          <w:rFonts w:eastAsiaTheme="minorEastAsia"/>
          <w:kern w:val="0"/>
          <w:szCs w:val="24"/>
          <w14:ligatures w14:val="none"/>
          <w14:numSpacing w14:val="default"/>
        </w:rPr>
        <w:t>negligen</w:t>
      </w:r>
      <w:r w:rsidR="004507FF">
        <w:rPr>
          <w:rFonts w:eastAsiaTheme="minorEastAsia"/>
          <w:kern w:val="0"/>
          <w:szCs w:val="24"/>
          <w14:ligatures w14:val="none"/>
          <w14:numSpacing w14:val="default"/>
        </w:rPr>
        <w:t>t conduct,</w:t>
      </w:r>
      <w:r w:rsidR="0045361B">
        <w:rPr>
          <w:rFonts w:eastAsiaTheme="minorEastAsia"/>
          <w:kern w:val="0"/>
          <w:szCs w:val="24"/>
          <w14:ligatures w14:val="none"/>
          <w14:numSpacing w14:val="default"/>
        </w:rPr>
        <w:t xml:space="preserve"> </w:t>
      </w:r>
      <w:r>
        <w:rPr>
          <w:rFonts w:eastAsiaTheme="minorEastAsia"/>
          <w:kern w:val="0"/>
          <w:szCs w:val="24"/>
          <w14:ligatures w14:val="none"/>
          <w14:numSpacing w14:val="default"/>
        </w:rPr>
        <w:t xml:space="preserve">that </w:t>
      </w:r>
      <w:r w:rsidR="004507FF">
        <w:rPr>
          <w:rFonts w:eastAsiaTheme="minorEastAsia"/>
          <w:kern w:val="0"/>
          <w:szCs w:val="24"/>
          <w14:ligatures w14:val="none"/>
          <w14:numSpacing w14:val="default"/>
        </w:rPr>
        <w:t>led to</w:t>
      </w:r>
      <w:r>
        <w:rPr>
          <w:rFonts w:eastAsiaTheme="minorEastAsia"/>
          <w:kern w:val="0"/>
          <w:szCs w:val="24"/>
          <w14:ligatures w14:val="none"/>
          <w14:numSpacing w14:val="default"/>
        </w:rPr>
        <w:t xml:space="preserve"> the accident. Given that th</w:t>
      </w:r>
      <w:r w:rsidR="00BB7CF1">
        <w:rPr>
          <w:rFonts w:eastAsiaTheme="minorEastAsia"/>
          <w:kern w:val="0"/>
          <w:szCs w:val="24"/>
          <w14:ligatures w14:val="none"/>
          <w14:numSpacing w14:val="default"/>
        </w:rPr>
        <w:t xml:space="preserve">e accident occurred </w:t>
      </w:r>
      <w:r w:rsidR="00EC6352">
        <w:rPr>
          <w:rFonts w:eastAsiaTheme="minorEastAsia"/>
          <w:kern w:val="0"/>
          <w:szCs w:val="24"/>
          <w14:ligatures w14:val="none"/>
          <w14:numSpacing w14:val="default"/>
        </w:rPr>
        <w:t xml:space="preserve">in under-regulated </w:t>
      </w:r>
      <w:r w:rsidR="00BB7CF1">
        <w:rPr>
          <w:rFonts w:eastAsiaTheme="minorEastAsia"/>
          <w:kern w:val="0"/>
          <w:szCs w:val="24"/>
          <w14:ligatures w14:val="none"/>
          <w14:numSpacing w14:val="default"/>
        </w:rPr>
        <w:t xml:space="preserve">conditions permitted by the </w:t>
      </w:r>
      <w:r>
        <w:rPr>
          <w:rFonts w:eastAsiaTheme="minorEastAsia"/>
          <w:kern w:val="0"/>
          <w:szCs w:val="24"/>
          <w14:ligatures w14:val="none"/>
          <w14:numSpacing w14:val="default"/>
        </w:rPr>
        <w:t xml:space="preserve">pilotage authority, </w:t>
      </w:r>
      <w:r w:rsidR="00CA1EAB">
        <w:rPr>
          <w:rFonts w:eastAsiaTheme="minorEastAsia"/>
          <w:kern w:val="0"/>
          <w:szCs w:val="24"/>
          <w14:ligatures w14:val="none"/>
          <w14:numSpacing w14:val="default"/>
        </w:rPr>
        <w:t xml:space="preserve">any review of the </w:t>
      </w:r>
      <w:r w:rsidR="00CA1EAB">
        <w:rPr>
          <w:rFonts w:eastAsiaTheme="minorEastAsia"/>
          <w:i/>
          <w:kern w:val="0"/>
          <w:szCs w:val="24"/>
          <w14:ligatures w14:val="none"/>
          <w14:numSpacing w14:val="default"/>
        </w:rPr>
        <w:t>Pilotage Act</w:t>
      </w:r>
      <w:r w:rsidR="00CA1EAB">
        <w:rPr>
          <w:rFonts w:eastAsiaTheme="minorEastAsia"/>
          <w:kern w:val="0"/>
          <w:szCs w:val="24"/>
          <w14:ligatures w14:val="none"/>
          <w14:numSpacing w14:val="default"/>
        </w:rPr>
        <w:t xml:space="preserve"> must prioritize </w:t>
      </w:r>
      <w:r w:rsidR="00EC6352">
        <w:rPr>
          <w:rFonts w:eastAsiaTheme="minorEastAsia"/>
          <w:kern w:val="0"/>
          <w:szCs w:val="24"/>
          <w14:ligatures w14:val="none"/>
          <w14:numSpacing w14:val="default"/>
        </w:rPr>
        <w:t xml:space="preserve">the </w:t>
      </w:r>
      <w:r w:rsidR="00CA1EAB">
        <w:rPr>
          <w:rFonts w:eastAsiaTheme="minorEastAsia"/>
          <w:kern w:val="0"/>
          <w:szCs w:val="24"/>
          <w14:ligatures w14:val="none"/>
          <w14:numSpacing w14:val="default"/>
        </w:rPr>
        <w:t>safe</w:t>
      </w:r>
      <w:r w:rsidR="00E17AFF">
        <w:rPr>
          <w:rFonts w:eastAsiaTheme="minorEastAsia"/>
          <w:kern w:val="0"/>
          <w:szCs w:val="24"/>
          <w14:ligatures w14:val="none"/>
          <w14:numSpacing w14:val="default"/>
        </w:rPr>
        <w:t>r</w:t>
      </w:r>
      <w:r w:rsidR="00CA1EAB">
        <w:rPr>
          <w:rFonts w:eastAsiaTheme="minorEastAsia"/>
          <w:kern w:val="0"/>
          <w:szCs w:val="24"/>
          <w14:ligatures w14:val="none"/>
          <w14:numSpacing w14:val="default"/>
        </w:rPr>
        <w:t xml:space="preserve"> operation of vessels </w:t>
      </w:r>
      <w:r w:rsidR="00E77B31">
        <w:rPr>
          <w:rFonts w:eastAsiaTheme="minorEastAsia"/>
          <w:kern w:val="0"/>
          <w:szCs w:val="24"/>
          <w14:ligatures w14:val="none"/>
          <w14:numSpacing w14:val="default"/>
        </w:rPr>
        <w:t xml:space="preserve">that will </w:t>
      </w:r>
      <w:r w:rsidR="00847952">
        <w:rPr>
          <w:rFonts w:eastAsiaTheme="minorEastAsia"/>
          <w:kern w:val="0"/>
          <w:szCs w:val="24"/>
          <w14:ligatures w14:val="none"/>
          <w14:numSpacing w14:val="default"/>
        </w:rPr>
        <w:t>effectively</w:t>
      </w:r>
      <w:r w:rsidR="00E77B31">
        <w:rPr>
          <w:rFonts w:eastAsiaTheme="minorEastAsia"/>
          <w:kern w:val="0"/>
          <w:szCs w:val="24"/>
          <w14:ligatures w14:val="none"/>
          <w14:numSpacing w14:val="default"/>
        </w:rPr>
        <w:t xml:space="preserve"> protect </w:t>
      </w:r>
      <w:r w:rsidR="00CA1EAB">
        <w:rPr>
          <w:rFonts w:eastAsiaTheme="minorEastAsia"/>
          <w:kern w:val="0"/>
          <w:szCs w:val="24"/>
          <w14:ligatures w14:val="none"/>
          <w14:numSpacing w14:val="default"/>
        </w:rPr>
        <w:t xml:space="preserve">the environment </w:t>
      </w:r>
      <w:r w:rsidR="00973018">
        <w:rPr>
          <w:rFonts w:eastAsiaTheme="minorEastAsia"/>
          <w:kern w:val="0"/>
          <w:szCs w:val="24"/>
          <w14:ligatures w14:val="none"/>
          <w14:numSpacing w14:val="default"/>
        </w:rPr>
        <w:t>on which indigenous and other communities rely</w:t>
      </w:r>
      <w:r w:rsidR="00847952">
        <w:rPr>
          <w:rFonts w:eastAsiaTheme="minorEastAsia"/>
          <w:kern w:val="0"/>
          <w:szCs w:val="24"/>
          <w14:ligatures w14:val="none"/>
          <w14:numSpacing w14:val="default"/>
        </w:rPr>
        <w:t>.</w:t>
      </w:r>
    </w:p>
    <w:p w14:paraId="6ACBF463" w14:textId="77777777" w:rsidR="001C104B" w:rsidRPr="006216EE" w:rsidRDefault="001C104B" w:rsidP="006216EE">
      <w:pPr>
        <w:pStyle w:val="Heading2"/>
        <w:rPr>
          <w:szCs w:val="20"/>
        </w:rPr>
      </w:pPr>
      <w:r w:rsidRPr="006216EE">
        <w:lastRenderedPageBreak/>
        <w:t>The</w:t>
      </w:r>
      <w:r w:rsidRPr="006216EE">
        <w:rPr>
          <w:rFonts w:eastAsiaTheme="minorEastAsia"/>
          <w:kern w:val="0"/>
          <w:szCs w:val="24"/>
          <w14:ligatures w14:val="none"/>
          <w14:numSpacing w14:val="default"/>
        </w:rPr>
        <w:t xml:space="preserve"> </w:t>
      </w:r>
      <w:r w:rsidRPr="006216EE">
        <w:rPr>
          <w:rFonts w:eastAsiaTheme="minorEastAsia"/>
          <w:i/>
          <w:kern w:val="0"/>
          <w:szCs w:val="24"/>
          <w14:ligatures w14:val="none"/>
          <w14:numSpacing w14:val="default"/>
        </w:rPr>
        <w:t>Jake Shearer</w:t>
      </w:r>
      <w:r w:rsidRPr="006216EE">
        <w:rPr>
          <w:rFonts w:eastAsiaTheme="minorEastAsia"/>
          <w:kern w:val="0"/>
          <w:szCs w:val="24"/>
          <w14:ligatures w14:val="none"/>
          <w14:numSpacing w14:val="default"/>
        </w:rPr>
        <w:t xml:space="preserve"> </w:t>
      </w:r>
    </w:p>
    <w:p w14:paraId="2D6B6BC8" w14:textId="7AF703A5" w:rsidR="006216EE" w:rsidRPr="006216EE" w:rsidRDefault="006E2EE3" w:rsidP="00177B40">
      <w:pPr>
        <w:pStyle w:val="Numbered"/>
        <w:ind w:hanging="720"/>
      </w:pPr>
      <w:r w:rsidRPr="00177B40">
        <w:t>Even</w:t>
      </w:r>
      <w:r>
        <w:rPr>
          <w:rFonts w:eastAsiaTheme="minorEastAsia"/>
          <w:kern w:val="0"/>
          <w:szCs w:val="24"/>
          <w14:ligatures w14:val="none"/>
          <w14:numSpacing w14:val="default"/>
        </w:rPr>
        <w:t xml:space="preserve"> more recently, </w:t>
      </w:r>
      <w:r w:rsidR="006216EE">
        <w:rPr>
          <w:rFonts w:eastAsiaTheme="minorEastAsia"/>
          <w:kern w:val="0"/>
          <w:szCs w:val="24"/>
          <w14:ligatures w14:val="none"/>
          <w14:numSpacing w14:val="default"/>
        </w:rPr>
        <w:t xml:space="preserve">on November 26, 2017, </w:t>
      </w:r>
      <w:r>
        <w:rPr>
          <w:rFonts w:eastAsiaTheme="minorEastAsia"/>
          <w:kern w:val="0"/>
          <w:szCs w:val="24"/>
          <w14:ligatures w14:val="none"/>
          <w14:numSpacing w14:val="default"/>
        </w:rPr>
        <w:t xml:space="preserve">the vulnerability of our marine territory to ship-source pollution accidents was </w:t>
      </w:r>
      <w:r w:rsidR="006216EE">
        <w:rPr>
          <w:rFonts w:eastAsiaTheme="minorEastAsia"/>
          <w:kern w:val="0"/>
          <w:szCs w:val="24"/>
          <w14:ligatures w14:val="none"/>
          <w14:numSpacing w14:val="default"/>
        </w:rPr>
        <w:t xml:space="preserve">again </w:t>
      </w:r>
      <w:r>
        <w:rPr>
          <w:rFonts w:eastAsiaTheme="minorEastAsia"/>
          <w:kern w:val="0"/>
          <w:szCs w:val="24"/>
          <w14:ligatures w14:val="none"/>
          <w14:numSpacing w14:val="default"/>
        </w:rPr>
        <w:t xml:space="preserve">illustrated by the ATB </w:t>
      </w:r>
      <w:r w:rsidRPr="006216EE">
        <w:rPr>
          <w:rFonts w:eastAsiaTheme="minorEastAsia"/>
          <w:i/>
          <w:kern w:val="0"/>
          <w:szCs w:val="24"/>
          <w14:ligatures w14:val="none"/>
          <w14:numSpacing w14:val="default"/>
        </w:rPr>
        <w:t>Jake Shearer</w:t>
      </w:r>
      <w:r>
        <w:rPr>
          <w:rFonts w:eastAsiaTheme="minorEastAsia"/>
          <w:kern w:val="0"/>
          <w:szCs w:val="24"/>
          <w14:ligatures w14:val="none"/>
          <w14:numSpacing w14:val="default"/>
        </w:rPr>
        <w:t xml:space="preserve"> coming uncoupled from its barge, </w:t>
      </w:r>
      <w:r w:rsidR="006216EE">
        <w:rPr>
          <w:rFonts w:eastAsiaTheme="minorEastAsia"/>
          <w:kern w:val="0"/>
          <w:szCs w:val="24"/>
          <w14:ligatures w14:val="none"/>
          <w14:numSpacing w14:val="default"/>
        </w:rPr>
        <w:t xml:space="preserve">the </w:t>
      </w:r>
      <w:r w:rsidR="006216EE" w:rsidRPr="006216EE">
        <w:rPr>
          <w:rFonts w:eastAsiaTheme="minorEastAsia"/>
          <w:i/>
          <w:kern w:val="0"/>
          <w:szCs w:val="24"/>
          <w14:ligatures w14:val="none"/>
          <w14:numSpacing w14:val="default"/>
        </w:rPr>
        <w:t>Zidell</w:t>
      </w:r>
      <w:r w:rsidR="006216EE">
        <w:rPr>
          <w:rFonts w:eastAsiaTheme="minorEastAsia"/>
          <w:kern w:val="0"/>
          <w:szCs w:val="24"/>
          <w14:ligatures w14:val="none"/>
          <w14:numSpacing w14:val="default"/>
        </w:rPr>
        <w:t xml:space="preserve">, </w:t>
      </w:r>
      <w:r>
        <w:rPr>
          <w:rFonts w:eastAsiaTheme="minorEastAsia"/>
          <w:kern w:val="0"/>
          <w:szCs w:val="24"/>
          <w14:ligatures w14:val="none"/>
          <w14:numSpacing w14:val="default"/>
        </w:rPr>
        <w:t>which was carrying 12</w:t>
      </w:r>
      <w:r w:rsidR="00F75A31">
        <w:rPr>
          <w:rFonts w:eastAsiaTheme="minorEastAsia"/>
          <w:kern w:val="0"/>
          <w:szCs w:val="24"/>
          <w14:ligatures w14:val="none"/>
          <w14:numSpacing w14:val="default"/>
        </w:rPr>
        <w:t>.5</w:t>
      </w:r>
      <w:r>
        <w:rPr>
          <w:rFonts w:eastAsiaTheme="minorEastAsia"/>
          <w:kern w:val="0"/>
          <w:szCs w:val="24"/>
          <w14:ligatures w14:val="none"/>
          <w14:numSpacing w14:val="default"/>
        </w:rPr>
        <w:t xml:space="preserve"> million litres of </w:t>
      </w:r>
      <w:r w:rsidR="00A55BEB">
        <w:rPr>
          <w:rFonts w:eastAsiaTheme="minorEastAsia"/>
          <w:kern w:val="0"/>
          <w:szCs w:val="24"/>
          <w14:ligatures w14:val="none"/>
          <w14:numSpacing w14:val="default"/>
        </w:rPr>
        <w:t>fuel oil</w:t>
      </w:r>
      <w:bookmarkStart w:id="4" w:name="_GoBack"/>
      <w:bookmarkEnd w:id="4"/>
      <w:r>
        <w:rPr>
          <w:rFonts w:eastAsiaTheme="minorEastAsia"/>
          <w:kern w:val="0"/>
          <w:szCs w:val="24"/>
          <w14:ligatures w14:val="none"/>
          <w14:numSpacing w14:val="default"/>
        </w:rPr>
        <w:t>.</w:t>
      </w:r>
      <w:r w:rsidR="00C36295">
        <w:rPr>
          <w:rFonts w:eastAsiaTheme="minorEastAsia"/>
          <w:kern w:val="0"/>
          <w:szCs w:val="24"/>
          <w14:ligatures w14:val="none"/>
          <w14:numSpacing w14:val="default"/>
        </w:rPr>
        <w:t xml:space="preserve"> </w:t>
      </w:r>
      <w:r w:rsidR="006216EE">
        <w:rPr>
          <w:rFonts w:eastAsiaTheme="minorEastAsia"/>
          <w:kern w:val="0"/>
          <w:szCs w:val="24"/>
          <w14:ligatures w14:val="none"/>
          <w14:numSpacing w14:val="default"/>
        </w:rPr>
        <w:t>The tug and the barge violently unc</w:t>
      </w:r>
      <w:r w:rsidR="00C776D5">
        <w:rPr>
          <w:rFonts w:eastAsiaTheme="minorEastAsia"/>
          <w:kern w:val="0"/>
          <w:szCs w:val="24"/>
          <w14:ligatures w14:val="none"/>
          <w14:numSpacing w14:val="default"/>
        </w:rPr>
        <w:t>oupled when hit with a rogue wa</w:t>
      </w:r>
      <w:r w:rsidR="006216EE">
        <w:rPr>
          <w:rFonts w:eastAsiaTheme="minorEastAsia"/>
          <w:kern w:val="0"/>
          <w:szCs w:val="24"/>
          <w14:ligatures w14:val="none"/>
          <w14:numSpacing w14:val="default"/>
        </w:rPr>
        <w:t xml:space="preserve">ve, and the barge floated astray in the stormy waters near Goose Island. </w:t>
      </w:r>
      <w:r w:rsidR="00C36295">
        <w:rPr>
          <w:rFonts w:eastAsiaTheme="minorEastAsia"/>
          <w:kern w:val="0"/>
          <w:szCs w:val="24"/>
          <w14:ligatures w14:val="none"/>
          <w14:numSpacing w14:val="default"/>
        </w:rPr>
        <w:t>The barge narr</w:t>
      </w:r>
      <w:r w:rsidR="006216EE">
        <w:rPr>
          <w:rFonts w:eastAsiaTheme="minorEastAsia"/>
          <w:kern w:val="0"/>
          <w:szCs w:val="24"/>
          <w14:ligatures w14:val="none"/>
          <w14:numSpacing w14:val="default"/>
        </w:rPr>
        <w:t xml:space="preserve">owly avoided running aground against Goose Island, and its smaller nearby islands, when </w:t>
      </w:r>
      <w:r w:rsidR="00F444CB">
        <w:rPr>
          <w:rFonts w:eastAsiaTheme="minorEastAsia"/>
          <w:kern w:val="0"/>
          <w:szCs w:val="24"/>
          <w14:ligatures w14:val="none"/>
          <w14:numSpacing w14:val="default"/>
        </w:rPr>
        <w:t>two</w:t>
      </w:r>
      <w:r w:rsidR="006216EE">
        <w:rPr>
          <w:rFonts w:eastAsiaTheme="minorEastAsia"/>
          <w:kern w:val="0"/>
          <w:szCs w:val="24"/>
          <w14:ligatures w14:val="none"/>
          <w14:numSpacing w14:val="default"/>
        </w:rPr>
        <w:t xml:space="preserve"> member</w:t>
      </w:r>
      <w:r w:rsidR="00F444CB">
        <w:rPr>
          <w:rFonts w:eastAsiaTheme="minorEastAsia"/>
          <w:kern w:val="0"/>
          <w:szCs w:val="24"/>
          <w14:ligatures w14:val="none"/>
          <w14:numSpacing w14:val="default"/>
        </w:rPr>
        <w:t>s of the crew risked their lives</w:t>
      </w:r>
      <w:r w:rsidR="006216EE">
        <w:rPr>
          <w:rFonts w:eastAsiaTheme="minorEastAsia"/>
          <w:kern w:val="0"/>
          <w:szCs w:val="24"/>
          <w14:ligatures w14:val="none"/>
          <w14:numSpacing w14:val="default"/>
        </w:rPr>
        <w:t xml:space="preserve"> by jumping onto the barge to release an anchor. The single anchor miraculous caught on the ocean floor, preventing the barge from running aground. A tug capable of rescuing the barge took 16 hours to arrive. The official response vessel from Prince Rupert, carrying spill equipment in the event of a pollution incident, was estimated to arrive on site two days later. </w:t>
      </w:r>
    </w:p>
    <w:p w14:paraId="0D12AE34" w14:textId="77777777" w:rsidR="001C104B" w:rsidRPr="00F054D2" w:rsidRDefault="006216EE" w:rsidP="00177B40">
      <w:pPr>
        <w:pStyle w:val="Numbered"/>
        <w:ind w:hanging="720"/>
      </w:pPr>
      <w:r>
        <w:rPr>
          <w:rFonts w:eastAsiaTheme="minorEastAsia"/>
          <w:kern w:val="0"/>
          <w:szCs w:val="24"/>
          <w14:ligatures w14:val="none"/>
          <w14:numSpacing w14:val="default"/>
        </w:rPr>
        <w:t xml:space="preserve">Heiltsuk understands that the </w:t>
      </w:r>
      <w:r w:rsidRPr="006216EE">
        <w:rPr>
          <w:rFonts w:eastAsiaTheme="minorEastAsia"/>
          <w:i/>
          <w:kern w:val="0"/>
          <w:szCs w:val="24"/>
          <w14:ligatures w14:val="none"/>
          <w14:numSpacing w14:val="default"/>
        </w:rPr>
        <w:t>Jake Shearer</w:t>
      </w:r>
      <w:r>
        <w:rPr>
          <w:rFonts w:eastAsiaTheme="minorEastAsia"/>
          <w:kern w:val="0"/>
          <w:szCs w:val="24"/>
          <w14:ligatures w14:val="none"/>
          <w14:numSpacing w14:val="default"/>
        </w:rPr>
        <w:t xml:space="preserve"> was carrying a pilot aboard. However, the pilot was not a local pilot, and the lack of knowledge about the local marine areas meant that Heiltsuk mariners had to assist, to locate a place of refuge for the </w:t>
      </w:r>
      <w:r w:rsidRPr="006216EE">
        <w:rPr>
          <w:rFonts w:eastAsiaTheme="minorEastAsia"/>
          <w:i/>
          <w:kern w:val="0"/>
          <w:szCs w:val="24"/>
          <w14:ligatures w14:val="none"/>
          <w14:numSpacing w14:val="default"/>
        </w:rPr>
        <w:t>Zidell</w:t>
      </w:r>
      <w:r>
        <w:rPr>
          <w:rFonts w:eastAsiaTheme="minorEastAsia"/>
          <w:kern w:val="0"/>
          <w:szCs w:val="24"/>
          <w14:ligatures w14:val="none"/>
          <w14:numSpacing w14:val="default"/>
        </w:rPr>
        <w:t xml:space="preserve"> to be towed and inspected.</w:t>
      </w:r>
    </w:p>
    <w:p w14:paraId="20B1AC80" w14:textId="77777777" w:rsidR="00CA1EAB" w:rsidRDefault="00CA1EAB" w:rsidP="0076575F">
      <w:pPr>
        <w:pStyle w:val="Heading1"/>
      </w:pPr>
      <w:bookmarkStart w:id="5" w:name="_Toc507508240"/>
      <w:r>
        <w:t>Specific Issues</w:t>
      </w:r>
      <w:bookmarkEnd w:id="5"/>
    </w:p>
    <w:p w14:paraId="5B337966" w14:textId="77777777" w:rsidR="00967CC8" w:rsidRDefault="00A2004C" w:rsidP="00177B40">
      <w:pPr>
        <w:pStyle w:val="Numbered"/>
        <w:ind w:hanging="720"/>
      </w:pPr>
      <w:r>
        <w:t>Heiltsuk make</w:t>
      </w:r>
      <w:r w:rsidR="00967CC8">
        <w:t>s</w:t>
      </w:r>
      <w:r>
        <w:t xml:space="preserve"> submissions in three areas: </w:t>
      </w:r>
    </w:p>
    <w:p w14:paraId="60C52228" w14:textId="77777777" w:rsidR="00967CC8" w:rsidRDefault="00A2004C" w:rsidP="00967CC8">
      <w:pPr>
        <w:pStyle w:val="Numbered"/>
        <w:numPr>
          <w:ilvl w:val="1"/>
          <w:numId w:val="2"/>
        </w:numPr>
      </w:pPr>
      <w:r>
        <w:t xml:space="preserve">the relationship between pilotage authorities </w:t>
      </w:r>
      <w:r w:rsidR="001E22AB">
        <w:t xml:space="preserve">(and more specifically the Pacific Pilotage Authority or PPA) </w:t>
      </w:r>
      <w:r w:rsidR="00B751AE">
        <w:t>and First Nations</w:t>
      </w:r>
      <w:r w:rsidR="00967CC8">
        <w:t>;</w:t>
      </w:r>
      <w:r w:rsidR="00B751AE">
        <w:t xml:space="preserve"> </w:t>
      </w:r>
    </w:p>
    <w:p w14:paraId="05BC4C26" w14:textId="77777777" w:rsidR="00967CC8" w:rsidRDefault="00B751AE" w:rsidP="00967CC8">
      <w:pPr>
        <w:pStyle w:val="Numbered"/>
        <w:numPr>
          <w:ilvl w:val="1"/>
          <w:numId w:val="2"/>
        </w:numPr>
      </w:pPr>
      <w:r>
        <w:t>the compul</w:t>
      </w:r>
      <w:r w:rsidR="001E22AB">
        <w:t>sory pilotage and waiver regime;</w:t>
      </w:r>
      <w:r>
        <w:t xml:space="preserve"> and </w:t>
      </w:r>
    </w:p>
    <w:p w14:paraId="23C20BB3" w14:textId="77777777" w:rsidR="00967CC8" w:rsidRDefault="00B751AE" w:rsidP="00967CC8">
      <w:pPr>
        <w:pStyle w:val="Numbered"/>
        <w:numPr>
          <w:ilvl w:val="1"/>
          <w:numId w:val="2"/>
        </w:numPr>
      </w:pPr>
      <w:r>
        <w:t xml:space="preserve">the power of authorities to investigate and penalize non-compliance. </w:t>
      </w:r>
    </w:p>
    <w:p w14:paraId="664786DA" w14:textId="77777777" w:rsidR="00B751AE" w:rsidRPr="00713D53" w:rsidRDefault="00986BEF" w:rsidP="00986BEF">
      <w:pPr>
        <w:pStyle w:val="Numbered"/>
        <w:numPr>
          <w:ilvl w:val="0"/>
          <w:numId w:val="0"/>
        </w:numPr>
        <w:ind w:left="720"/>
      </w:pPr>
      <w:r>
        <w:t>Heiltsuk believes that comments will assist government in developing a scheme that is safer, environmentally responsible and transparent.</w:t>
      </w:r>
      <w:r w:rsidR="00B751AE">
        <w:t xml:space="preserve"> </w:t>
      </w:r>
    </w:p>
    <w:p w14:paraId="610D3535" w14:textId="77777777" w:rsidR="0076575F" w:rsidRPr="0076575F" w:rsidRDefault="0076575F" w:rsidP="00CA1EAB">
      <w:pPr>
        <w:pStyle w:val="Heading2"/>
      </w:pPr>
      <w:bookmarkStart w:id="6" w:name="_Toc507508241"/>
      <w:r>
        <w:t xml:space="preserve">Relationship between </w:t>
      </w:r>
      <w:r w:rsidR="0085749D">
        <w:t>the Pacific Pilotage Authority</w:t>
      </w:r>
      <w:r>
        <w:t xml:space="preserve"> &amp; Indigenous Nations</w:t>
      </w:r>
      <w:bookmarkEnd w:id="6"/>
    </w:p>
    <w:p w14:paraId="52BF0E31" w14:textId="77777777" w:rsidR="00DA51CB" w:rsidRDefault="00CC77AB" w:rsidP="00177B40">
      <w:pPr>
        <w:pStyle w:val="Numbered"/>
        <w:ind w:hanging="720"/>
      </w:pPr>
      <w:r>
        <w:t xml:space="preserve">Heiltsuk, </w:t>
      </w:r>
      <w:r w:rsidR="004D6F93">
        <w:t xml:space="preserve">like many </w:t>
      </w:r>
      <w:r w:rsidR="0085749D">
        <w:t>I</w:t>
      </w:r>
      <w:r w:rsidR="004D6F93">
        <w:t xml:space="preserve">ndigenous coastal communities, </w:t>
      </w:r>
      <w:r w:rsidR="007A727D">
        <w:t xml:space="preserve">is </w:t>
      </w:r>
      <w:r w:rsidR="000207E9">
        <w:t>inextricably tied</w:t>
      </w:r>
      <w:r w:rsidR="007A727D">
        <w:t xml:space="preserve"> to our </w:t>
      </w:r>
      <w:r>
        <w:t xml:space="preserve">ancestral lands and waters. </w:t>
      </w:r>
      <w:r w:rsidR="00CC3431">
        <w:t xml:space="preserve">Our waters sustain us, are part of our cultural and spiritual identity, and are the backbone of our economy. </w:t>
      </w:r>
      <w:r w:rsidR="00765A29">
        <w:t xml:space="preserve">This means that the </w:t>
      </w:r>
      <w:r>
        <w:t>Heiltsuk</w:t>
      </w:r>
      <w:r w:rsidR="00765A29">
        <w:t xml:space="preserve"> way of life is </w:t>
      </w:r>
      <w:r>
        <w:t xml:space="preserve">especially </w:t>
      </w:r>
      <w:r w:rsidR="000207E9">
        <w:t>vulnerable</w:t>
      </w:r>
      <w:r>
        <w:t xml:space="preserve"> to environmental </w:t>
      </w:r>
      <w:r w:rsidR="00180AA9">
        <w:t>damage from shipping</w:t>
      </w:r>
      <w:r w:rsidR="000207E9">
        <w:t xml:space="preserve"> and other marine uses</w:t>
      </w:r>
      <w:r>
        <w:t>.</w:t>
      </w:r>
    </w:p>
    <w:p w14:paraId="069042C6" w14:textId="77777777" w:rsidR="00CC77AB" w:rsidRDefault="00CC77AB" w:rsidP="00177B40">
      <w:pPr>
        <w:pStyle w:val="Numbered"/>
        <w:ind w:hanging="720"/>
      </w:pPr>
      <w:r>
        <w:t xml:space="preserve">Heiltsuk </w:t>
      </w:r>
      <w:r w:rsidR="002131DA">
        <w:t xml:space="preserve">peoples are </w:t>
      </w:r>
      <w:r>
        <w:t>also uniquely knowledgeable about their local waters</w:t>
      </w:r>
      <w:r w:rsidR="002131DA">
        <w:t xml:space="preserve">. We </w:t>
      </w:r>
      <w:r w:rsidR="008E06A1">
        <w:t>live in our territories</w:t>
      </w:r>
      <w:r w:rsidR="000207E9">
        <w:t xml:space="preserve"> for thousands of years</w:t>
      </w:r>
      <w:r w:rsidR="008E06A1">
        <w:t xml:space="preserve">, </w:t>
      </w:r>
      <w:r w:rsidR="004E3468">
        <w:t xml:space="preserve">have harvested from our waters for millennia, </w:t>
      </w:r>
      <w:r w:rsidR="002131DA">
        <w:t xml:space="preserve">and </w:t>
      </w:r>
      <w:r w:rsidR="000207E9">
        <w:t xml:space="preserve">have stewarded </w:t>
      </w:r>
      <w:r w:rsidR="002131DA">
        <w:t>our marine territories</w:t>
      </w:r>
      <w:r w:rsidR="000207E9">
        <w:t xml:space="preserve"> since time immemorial</w:t>
      </w:r>
      <w:r w:rsidR="002131DA">
        <w:t xml:space="preserve">. </w:t>
      </w:r>
      <w:r w:rsidR="00D30A47">
        <w:t xml:space="preserve">As a result of </w:t>
      </w:r>
      <w:r w:rsidR="008E06A1">
        <w:t>our</w:t>
      </w:r>
      <w:r w:rsidR="00D30A47">
        <w:t xml:space="preserve"> connection, </w:t>
      </w:r>
      <w:r w:rsidR="008E06A1">
        <w:t>we</w:t>
      </w:r>
      <w:r w:rsidR="00D30A47">
        <w:t xml:space="preserve"> are uniquely positioned </w:t>
      </w:r>
      <w:r w:rsidR="00831DA7">
        <w:t xml:space="preserve">and obligated </w:t>
      </w:r>
      <w:r w:rsidR="00D30A47">
        <w:t xml:space="preserve">to contribute to the safe navigation of ships through </w:t>
      </w:r>
      <w:r w:rsidR="008E06A1">
        <w:t>our</w:t>
      </w:r>
      <w:r w:rsidR="00D30A47">
        <w:t xml:space="preserve"> waters.</w:t>
      </w:r>
    </w:p>
    <w:p w14:paraId="675E58A7" w14:textId="77777777" w:rsidR="00CC77AB" w:rsidRDefault="00CC77AB" w:rsidP="00177B40">
      <w:pPr>
        <w:pStyle w:val="Numbered"/>
        <w:ind w:hanging="720"/>
      </w:pPr>
      <w:r>
        <w:t xml:space="preserve">Despite </w:t>
      </w:r>
      <w:r w:rsidR="008E06A1">
        <w:t xml:space="preserve">our </w:t>
      </w:r>
      <w:r w:rsidR="00344FBF">
        <w:t>connection,</w:t>
      </w:r>
      <w:r w:rsidR="00E03181">
        <w:t xml:space="preserve"> </w:t>
      </w:r>
      <w:r w:rsidR="00344FBF">
        <w:t xml:space="preserve">our stewardship and </w:t>
      </w:r>
      <w:r w:rsidR="00E03181">
        <w:t xml:space="preserve">our </w:t>
      </w:r>
      <w:r w:rsidR="000D7580">
        <w:t xml:space="preserve">detailed </w:t>
      </w:r>
      <w:r w:rsidR="008E06A1">
        <w:t xml:space="preserve">knowledge of our own </w:t>
      </w:r>
      <w:r w:rsidR="000D7580">
        <w:t xml:space="preserve">marine </w:t>
      </w:r>
      <w:r w:rsidR="008E06A1">
        <w:t>territories, we</w:t>
      </w:r>
      <w:r w:rsidR="00D30A47">
        <w:t xml:space="preserve"> </w:t>
      </w:r>
      <w:r w:rsidR="009C01E7">
        <w:t xml:space="preserve">do not have any role </w:t>
      </w:r>
      <w:r w:rsidR="00D30A47">
        <w:t>in the Pacific Pilotage Authority’s governance or operation.</w:t>
      </w:r>
      <w:r w:rsidR="00831DA7">
        <w:t xml:space="preserve"> While Canada works to adjust to Indigenous self-</w:t>
      </w:r>
      <w:r w:rsidR="00831DA7">
        <w:lastRenderedPageBreak/>
        <w:t>government, Heiltsuk should be accorded an immediate role in the PPA’s governance and its operations.</w:t>
      </w:r>
    </w:p>
    <w:p w14:paraId="297BFDC0" w14:textId="77777777" w:rsidR="00D30A47" w:rsidRDefault="00D30A47" w:rsidP="00C776D5">
      <w:pPr>
        <w:pStyle w:val="Heading3"/>
      </w:pPr>
      <w:bookmarkStart w:id="7" w:name="_Toc507508242"/>
      <w:r>
        <w:t>Lack of Board Representation</w:t>
      </w:r>
      <w:bookmarkEnd w:id="7"/>
    </w:p>
    <w:p w14:paraId="14C264A0" w14:textId="77777777" w:rsidR="00C776D5" w:rsidRPr="00C776D5" w:rsidRDefault="00C776D5" w:rsidP="00C776D5">
      <w:pPr>
        <w:pStyle w:val="Numbered"/>
        <w:numPr>
          <w:ilvl w:val="0"/>
          <w:numId w:val="0"/>
        </w:numPr>
        <w:ind w:left="1080"/>
      </w:pPr>
      <w:r>
        <w:rPr>
          <w:b/>
        </w:rPr>
        <w:t>Recommendations:</w:t>
      </w:r>
    </w:p>
    <w:p w14:paraId="009B189C" w14:textId="77777777" w:rsidR="00C776D5" w:rsidRPr="00844F97" w:rsidRDefault="00C776D5" w:rsidP="00177B40">
      <w:pPr>
        <w:pStyle w:val="Numbered"/>
        <w:numPr>
          <w:ilvl w:val="0"/>
          <w:numId w:val="7"/>
        </w:numPr>
      </w:pPr>
      <w:r w:rsidRPr="00BF2727">
        <w:t xml:space="preserve">Codify board composition requirements in the </w:t>
      </w:r>
      <w:r w:rsidRPr="00844F97">
        <w:rPr>
          <w:i/>
        </w:rPr>
        <w:t>Pilotage Act,</w:t>
      </w:r>
      <w:r w:rsidRPr="00844F97">
        <w:t xml:space="preserve"> and</w:t>
      </w:r>
    </w:p>
    <w:p w14:paraId="590BBAEA" w14:textId="77777777" w:rsidR="00C776D5" w:rsidRDefault="00C776D5" w:rsidP="00177B40">
      <w:pPr>
        <w:pStyle w:val="Numbered"/>
        <w:numPr>
          <w:ilvl w:val="0"/>
          <w:numId w:val="7"/>
        </w:numPr>
      </w:pPr>
      <w:r w:rsidRPr="00844F97">
        <w:t xml:space="preserve">Set aside positions for representatives of Indigenous communities whose rights are impacted by </w:t>
      </w:r>
      <w:r w:rsidRPr="00FA76C8">
        <w:t>the operations for each authority.</w:t>
      </w:r>
    </w:p>
    <w:p w14:paraId="320E7D39" w14:textId="77777777" w:rsidR="0098281C" w:rsidRDefault="00D30A47" w:rsidP="00177B40">
      <w:pPr>
        <w:pStyle w:val="Numbered"/>
        <w:ind w:hanging="720"/>
      </w:pPr>
      <w:r>
        <w:t xml:space="preserve">The </w:t>
      </w:r>
      <w:r>
        <w:rPr>
          <w:i/>
        </w:rPr>
        <w:t>Pilotage Act</w:t>
      </w:r>
      <w:r>
        <w:t xml:space="preserve"> currently makes no allowance for Indigenous representation on pilotage authority boards. </w:t>
      </w:r>
    </w:p>
    <w:p w14:paraId="70E6CD52" w14:textId="77777777" w:rsidR="00530496" w:rsidRDefault="001E3C57" w:rsidP="00177B40">
      <w:pPr>
        <w:pStyle w:val="Numbered"/>
        <w:ind w:hanging="720"/>
      </w:pPr>
      <w:r>
        <w:t xml:space="preserve">By convention, pilotage authorities’ boards are typically composed of representatives from the pilots, industry and the public. For the PPA, this convention sees two industry appointments, two pilot appointments and two public appointees. </w:t>
      </w:r>
    </w:p>
    <w:p w14:paraId="615FA5EB" w14:textId="77777777" w:rsidR="003E713C" w:rsidRDefault="001E3C57" w:rsidP="00177B40">
      <w:pPr>
        <w:pStyle w:val="Numbered"/>
        <w:ind w:hanging="720"/>
      </w:pPr>
      <w:r>
        <w:t xml:space="preserve">The current convention makes no </w:t>
      </w:r>
      <w:r w:rsidR="00AC77E1">
        <w:t>explicit allowance for I</w:t>
      </w:r>
      <w:r>
        <w:t>ndigenous representation.</w:t>
      </w:r>
      <w:r w:rsidR="003E713C">
        <w:t xml:space="preserve"> </w:t>
      </w:r>
      <w:r w:rsidR="006254DB">
        <w:t>Further, Indigenous peoples are under</w:t>
      </w:r>
      <w:r w:rsidR="00411B6C">
        <w:t>-</w:t>
      </w:r>
      <w:r w:rsidR="006254DB">
        <w:t xml:space="preserve">presented in the </w:t>
      </w:r>
      <w:r w:rsidR="00646A87">
        <w:t xml:space="preserve">industry and pilotage </w:t>
      </w:r>
      <w:r w:rsidR="006254DB">
        <w:t xml:space="preserve">groups that supply representatives to the PPA board. </w:t>
      </w:r>
      <w:r w:rsidR="00EB6409">
        <w:t xml:space="preserve">For example, </w:t>
      </w:r>
      <w:r w:rsidR="003E713C">
        <w:t xml:space="preserve">Heiltsuk </w:t>
      </w:r>
      <w:r w:rsidR="00EB6409">
        <w:t>understands</w:t>
      </w:r>
      <w:r w:rsidR="003E713C">
        <w:t xml:space="preserve"> that BC </w:t>
      </w:r>
      <w:r w:rsidR="00EB6409">
        <w:t xml:space="preserve">only has </w:t>
      </w:r>
      <w:r w:rsidR="00411B6C">
        <w:t>five</w:t>
      </w:r>
      <w:r w:rsidR="003E713C">
        <w:t xml:space="preserve"> pilots with an Indigenous background. </w:t>
      </w:r>
    </w:p>
    <w:p w14:paraId="2D6D0E33" w14:textId="77777777" w:rsidR="001E3C57" w:rsidRDefault="001E3C57" w:rsidP="00177B40">
      <w:pPr>
        <w:pStyle w:val="Numbered"/>
        <w:ind w:hanging="720"/>
      </w:pPr>
      <w:r>
        <w:t>To the best of Heiltsuk’s knowledge, an individ</w:t>
      </w:r>
      <w:r w:rsidR="00CB2B18">
        <w:t>ual from a coastal First Nation</w:t>
      </w:r>
      <w:r>
        <w:t xml:space="preserve"> has never served on the PPA’s board.</w:t>
      </w:r>
    </w:p>
    <w:p w14:paraId="4BC68E99" w14:textId="77777777" w:rsidR="008754F4" w:rsidRDefault="0010681D" w:rsidP="00177B40">
      <w:pPr>
        <w:pStyle w:val="Numbered"/>
        <w:ind w:hanging="720"/>
      </w:pPr>
      <w:r>
        <w:t xml:space="preserve">Participation of Indigenous peoples on the Board of the PPA would be consistent with </w:t>
      </w:r>
      <w:r w:rsidR="008E6007">
        <w:t>Canada</w:t>
      </w:r>
      <w:r>
        <w:t xml:space="preserve"> having signed </w:t>
      </w:r>
      <w:r w:rsidR="009C1938">
        <w:t xml:space="preserve">the United Nations </w:t>
      </w:r>
      <w:r w:rsidR="00EF4DE1">
        <w:t xml:space="preserve">Declaration </w:t>
      </w:r>
      <w:r w:rsidR="000B6520">
        <w:t>on the Rights of Indigenous Peoples (</w:t>
      </w:r>
      <w:r w:rsidR="008E6007">
        <w:t>UNDRIP</w:t>
      </w:r>
      <w:r w:rsidR="000B6520">
        <w:t>)</w:t>
      </w:r>
      <w:r w:rsidR="008E6007">
        <w:t xml:space="preserve">, which </w:t>
      </w:r>
      <w:r w:rsidR="00846BD8">
        <w:t xml:space="preserve">speaks to Indigenous </w:t>
      </w:r>
      <w:r w:rsidR="000C0267">
        <w:t>partic</w:t>
      </w:r>
      <w:r w:rsidR="003063AB">
        <w:t>ipation in decision-making which would effect their rights:</w:t>
      </w:r>
    </w:p>
    <w:p w14:paraId="1B5955C8" w14:textId="77777777" w:rsidR="003063AB" w:rsidRDefault="00DA0D3B" w:rsidP="003063AB">
      <w:pPr>
        <w:pStyle w:val="Numbered"/>
        <w:numPr>
          <w:ilvl w:val="0"/>
          <w:numId w:val="0"/>
        </w:numPr>
        <w:ind w:left="1440"/>
      </w:pPr>
      <w:r>
        <w:t>Article 18</w:t>
      </w:r>
    </w:p>
    <w:p w14:paraId="4D3C9719" w14:textId="77777777" w:rsidR="00DA0D3B" w:rsidRDefault="004A7957" w:rsidP="003063AB">
      <w:pPr>
        <w:pStyle w:val="Numbered"/>
        <w:numPr>
          <w:ilvl w:val="0"/>
          <w:numId w:val="0"/>
        </w:numPr>
        <w:ind w:left="1440"/>
      </w:pPr>
      <w:r w:rsidRPr="004A7957">
        <w:t>Indigenous peoples have the right to participate in decision-making in matters which would affect their rights, through representatives chosen by themselves in accordance with their own procedures, as well as to maintain and develop their own indigenous decision- making institutions.</w:t>
      </w:r>
    </w:p>
    <w:p w14:paraId="287D71D3" w14:textId="77777777" w:rsidR="00451895" w:rsidRDefault="00451895" w:rsidP="00177B40">
      <w:pPr>
        <w:pStyle w:val="Numbered"/>
        <w:ind w:hanging="720"/>
      </w:pPr>
      <w:r>
        <w:t xml:space="preserve">UNDRIP </w:t>
      </w:r>
      <w:r w:rsidR="0010681D">
        <w:t xml:space="preserve">also </w:t>
      </w:r>
      <w:r>
        <w:t xml:space="preserve">speaks to </w:t>
      </w:r>
      <w:r w:rsidR="004D552B">
        <w:t xml:space="preserve">the right of Indigenous peoples to protect </w:t>
      </w:r>
      <w:r w:rsidR="003F7C8E">
        <w:t>the environment</w:t>
      </w:r>
      <w:r w:rsidR="00775A66">
        <w:t xml:space="preserve"> of their </w:t>
      </w:r>
      <w:r w:rsidR="00F04FA3">
        <w:t xml:space="preserve">lands, </w:t>
      </w:r>
      <w:r w:rsidR="00775A66">
        <w:t>territories</w:t>
      </w:r>
      <w:r w:rsidR="00CB335B">
        <w:t xml:space="preserve"> and resources, and to states establishing and implementing assistance programs for such protection:</w:t>
      </w:r>
    </w:p>
    <w:p w14:paraId="6F847A06" w14:textId="77777777" w:rsidR="00CB335B" w:rsidRDefault="00CB335B" w:rsidP="00CB335B">
      <w:pPr>
        <w:pStyle w:val="Numbered"/>
        <w:numPr>
          <w:ilvl w:val="0"/>
          <w:numId w:val="0"/>
        </w:numPr>
        <w:ind w:left="1440"/>
      </w:pPr>
      <w:r>
        <w:t>Article 29</w:t>
      </w:r>
    </w:p>
    <w:p w14:paraId="484A383B" w14:textId="77777777" w:rsidR="00CB335B" w:rsidRDefault="00CB335B" w:rsidP="00CB335B">
      <w:pPr>
        <w:pStyle w:val="Numbered"/>
        <w:numPr>
          <w:ilvl w:val="0"/>
          <w:numId w:val="0"/>
        </w:numPr>
        <w:ind w:left="1440"/>
      </w:pPr>
      <w:r w:rsidRPr="00CB335B">
        <w:t>1. Indigenous peoples have the rig</w:t>
      </w:r>
      <w:r>
        <w:t>ht to the conservation and pro</w:t>
      </w:r>
      <w:r w:rsidRPr="00CB335B">
        <w:t>tection of the environment and the productive capacity of their lands or territories and resources. States shall establish and implement assistance programmes for indigenous peoples for such conservation and protection, without discrimination.</w:t>
      </w:r>
    </w:p>
    <w:p w14:paraId="625C199B" w14:textId="77777777" w:rsidR="00D12D83" w:rsidRDefault="00E65E76" w:rsidP="00177B40">
      <w:pPr>
        <w:pStyle w:val="Numbered"/>
        <w:ind w:hanging="720"/>
      </w:pPr>
      <w:r>
        <w:t xml:space="preserve">The regulatory systems of authorities under the </w:t>
      </w:r>
      <w:r w:rsidRPr="00E65E76">
        <w:rPr>
          <w:i/>
        </w:rPr>
        <w:t>Pilotage Act</w:t>
      </w:r>
      <w:r>
        <w:t xml:space="preserve"> are essential to the safety of the marine resources of coastal Indigenous peoples. </w:t>
      </w:r>
    </w:p>
    <w:p w14:paraId="024F37EA" w14:textId="77777777" w:rsidR="001E3C57" w:rsidRDefault="001E3C57" w:rsidP="00177B40">
      <w:pPr>
        <w:pStyle w:val="Numbered"/>
        <w:ind w:hanging="720"/>
      </w:pPr>
      <w:r>
        <w:lastRenderedPageBreak/>
        <w:t xml:space="preserve">Heiltsuk is </w:t>
      </w:r>
      <w:r w:rsidR="00E65E76">
        <w:t>further</w:t>
      </w:r>
      <w:r>
        <w:t xml:space="preserve"> concerned that the PPA’s current board governance, which reserves positions for </w:t>
      </w:r>
      <w:r w:rsidR="00E65E76">
        <w:t xml:space="preserve">industry representatives </w:t>
      </w:r>
      <w:r>
        <w:t xml:space="preserve">may give rise to conflicts of interest at the board level. </w:t>
      </w:r>
      <w:r w:rsidR="000738E2">
        <w:t>Pilotage authorities are legislatively tasked with providing pilotage services “in the interests of safety.” (</w:t>
      </w:r>
      <w:r w:rsidR="000738E2">
        <w:rPr>
          <w:i/>
        </w:rPr>
        <w:t>Pilotage Act</w:t>
      </w:r>
      <w:r w:rsidR="000738E2">
        <w:t xml:space="preserve">, s. 18) </w:t>
      </w:r>
      <w:r w:rsidR="000738E2" w:rsidRPr="00F310FF">
        <w:t xml:space="preserve">Despite this solely public legislative focus, the authorities </w:t>
      </w:r>
      <w:r w:rsidR="00743FCE" w:rsidRPr="00F310FF">
        <w:t xml:space="preserve">guarantee, by convention, </w:t>
      </w:r>
      <w:r w:rsidR="00B81973" w:rsidRPr="00F310FF">
        <w:t xml:space="preserve">management roles to the </w:t>
      </w:r>
      <w:r w:rsidR="00743FCE" w:rsidRPr="00F310FF">
        <w:t xml:space="preserve">very </w:t>
      </w:r>
      <w:r w:rsidR="00B81973" w:rsidRPr="00F310FF">
        <w:t>industries whose activities are being regulated.</w:t>
      </w:r>
      <w:r w:rsidR="000738E2">
        <w:t xml:space="preserve"> </w:t>
      </w:r>
    </w:p>
    <w:p w14:paraId="3420AF00" w14:textId="77777777" w:rsidR="00435C29" w:rsidRDefault="00435C29" w:rsidP="00C776D5">
      <w:pPr>
        <w:pStyle w:val="Heading3"/>
      </w:pPr>
      <w:bookmarkStart w:id="8" w:name="_Toc507508243"/>
      <w:r>
        <w:t>Maintain regional Pilotage Authorities</w:t>
      </w:r>
      <w:bookmarkEnd w:id="8"/>
    </w:p>
    <w:p w14:paraId="64E6662C" w14:textId="77777777" w:rsidR="00C776D5" w:rsidRPr="00C776D5" w:rsidRDefault="00C776D5" w:rsidP="00C776D5">
      <w:pPr>
        <w:pStyle w:val="Numbered"/>
        <w:numPr>
          <w:ilvl w:val="0"/>
          <w:numId w:val="0"/>
        </w:numPr>
        <w:ind w:left="1080"/>
        <w:rPr>
          <w:b/>
        </w:rPr>
      </w:pPr>
      <w:r w:rsidRPr="00C776D5">
        <w:rPr>
          <w:b/>
        </w:rPr>
        <w:t xml:space="preserve">Recommendations: </w:t>
      </w:r>
    </w:p>
    <w:p w14:paraId="75EA884A" w14:textId="77777777" w:rsidR="00C776D5" w:rsidRPr="00684116" w:rsidRDefault="00C776D5" w:rsidP="00177B40">
      <w:pPr>
        <w:pStyle w:val="Numbered"/>
        <w:numPr>
          <w:ilvl w:val="0"/>
          <w:numId w:val="8"/>
        </w:numPr>
        <w:ind w:left="1440"/>
      </w:pPr>
      <w:r>
        <w:t>Retain regional pilotage authorities.</w:t>
      </w:r>
    </w:p>
    <w:p w14:paraId="417B64B6" w14:textId="77777777" w:rsidR="00684116" w:rsidRDefault="00E2027D" w:rsidP="00177B40">
      <w:pPr>
        <w:pStyle w:val="Numbered"/>
        <w:ind w:hanging="720"/>
      </w:pPr>
      <w:r>
        <w:t xml:space="preserve">Heiltsuk is concerned that a move away from regional pilotage authorities to a single national authority would dilute the local representation and create a national authority unfamiliar </w:t>
      </w:r>
      <w:r w:rsidR="00F310FF">
        <w:t xml:space="preserve">or less familiar </w:t>
      </w:r>
      <w:r>
        <w:t>with local conditions</w:t>
      </w:r>
      <w:r w:rsidR="00F310FF">
        <w:t>.</w:t>
      </w:r>
      <w:r w:rsidR="005A57D6">
        <w:t xml:space="preserve"> </w:t>
      </w:r>
    </w:p>
    <w:p w14:paraId="35D36E43" w14:textId="77777777" w:rsidR="005E5BA3" w:rsidRDefault="005E5BA3" w:rsidP="00177B40">
      <w:pPr>
        <w:pStyle w:val="Numbered"/>
        <w:ind w:hanging="720"/>
      </w:pPr>
      <w:r>
        <w:t xml:space="preserve">The creation of a national authority will also eliminate the effective engagement of local Indigenous governments. Indigenous communities are unique in their knowledge of local waters and local conditions. </w:t>
      </w:r>
    </w:p>
    <w:p w14:paraId="0B39D982" w14:textId="77777777" w:rsidR="00435C29" w:rsidRDefault="009927CD" w:rsidP="00C776D5">
      <w:pPr>
        <w:pStyle w:val="Heading3"/>
      </w:pPr>
      <w:bookmarkStart w:id="9" w:name="_Toc507508244"/>
      <w:r>
        <w:t xml:space="preserve">Increasing </w:t>
      </w:r>
      <w:r w:rsidR="00435C29">
        <w:t xml:space="preserve">Indigenous participation in </w:t>
      </w:r>
      <w:bookmarkEnd w:id="9"/>
      <w:r>
        <w:t>PPA operations</w:t>
      </w:r>
    </w:p>
    <w:p w14:paraId="455A098C" w14:textId="77777777" w:rsidR="00C776D5" w:rsidRPr="000738E2" w:rsidRDefault="00C776D5" w:rsidP="00C776D5">
      <w:pPr>
        <w:pStyle w:val="Numbered"/>
        <w:numPr>
          <w:ilvl w:val="0"/>
          <w:numId w:val="0"/>
        </w:numPr>
        <w:ind w:left="1080"/>
      </w:pPr>
      <w:r>
        <w:rPr>
          <w:b/>
        </w:rPr>
        <w:t xml:space="preserve">Recommendations: </w:t>
      </w:r>
    </w:p>
    <w:p w14:paraId="2A2D17FA" w14:textId="77777777" w:rsidR="00C776D5" w:rsidRDefault="00C776D5" w:rsidP="00C776D5">
      <w:pPr>
        <w:pStyle w:val="Numbered"/>
        <w:numPr>
          <w:ilvl w:val="0"/>
          <w:numId w:val="3"/>
        </w:numPr>
      </w:pPr>
      <w:r>
        <w:t xml:space="preserve">Create structures to facilitate regular cooperation between </w:t>
      </w:r>
      <w:r w:rsidR="005E5BA3">
        <w:t xml:space="preserve">the PPA and </w:t>
      </w:r>
      <w:r>
        <w:t xml:space="preserve">coastal </w:t>
      </w:r>
      <w:r w:rsidR="005E5BA3">
        <w:t>Indigenous governments.</w:t>
      </w:r>
    </w:p>
    <w:p w14:paraId="1EFD9CAD" w14:textId="77777777" w:rsidR="00C776D5" w:rsidRPr="00D30A47" w:rsidRDefault="00C776D5" w:rsidP="00C776D5">
      <w:pPr>
        <w:pStyle w:val="Numbered"/>
        <w:numPr>
          <w:ilvl w:val="0"/>
          <w:numId w:val="3"/>
        </w:numPr>
      </w:pPr>
      <w:r>
        <w:t xml:space="preserve">Create opportunities for Heiltsuk mariners to </w:t>
      </w:r>
      <w:r w:rsidR="005E5BA3">
        <w:t>engage in</w:t>
      </w:r>
      <w:r>
        <w:t xml:space="preserve"> PPA operations in their territory, and to gain exposure and experience in piloting.</w:t>
      </w:r>
    </w:p>
    <w:p w14:paraId="02705DF0" w14:textId="77777777" w:rsidR="00435C29" w:rsidRDefault="00051EFF" w:rsidP="00177B40">
      <w:pPr>
        <w:pStyle w:val="Numbered"/>
        <w:ind w:hanging="720"/>
      </w:pPr>
      <w:r>
        <w:t xml:space="preserve">Heiltsuk </w:t>
      </w:r>
      <w:r w:rsidR="00F310FF">
        <w:t xml:space="preserve">believes that Indigenous groups should play a larger part </w:t>
      </w:r>
      <w:r w:rsidR="00FB0B95">
        <w:t xml:space="preserve">within authorities </w:t>
      </w:r>
      <w:r w:rsidR="00F310FF">
        <w:t>at an operational level</w:t>
      </w:r>
      <w:r w:rsidR="00FB0B95">
        <w:t>, as well as at a policy level</w:t>
      </w:r>
      <w:r w:rsidR="003310DA">
        <w:t xml:space="preserve">, starting with greater cooperation and information-sharing between the PPA and </w:t>
      </w:r>
      <w:r>
        <w:t xml:space="preserve">Heiltsuk mariners. </w:t>
      </w:r>
    </w:p>
    <w:p w14:paraId="2BD05F6F" w14:textId="77777777" w:rsidR="00E12379" w:rsidRDefault="00AA1D9A" w:rsidP="00177B40">
      <w:pPr>
        <w:pStyle w:val="Numbered"/>
        <w:ind w:hanging="720"/>
      </w:pPr>
      <w:r>
        <w:t>For example, regular meeting</w:t>
      </w:r>
      <w:r w:rsidR="009A09AD">
        <w:t xml:space="preserve">s between </w:t>
      </w:r>
      <w:r w:rsidR="0076095D">
        <w:t xml:space="preserve">the </w:t>
      </w:r>
      <w:r w:rsidR="009A09AD">
        <w:t>PP</w:t>
      </w:r>
      <w:r>
        <w:t xml:space="preserve">A and Indigenous </w:t>
      </w:r>
      <w:r w:rsidR="009A09AD">
        <w:t>governments</w:t>
      </w:r>
      <w:r>
        <w:t xml:space="preserve"> like Heiltsuk </w:t>
      </w:r>
      <w:r w:rsidR="00224061">
        <w:t>will</w:t>
      </w:r>
      <w:r w:rsidR="009A09AD">
        <w:t xml:space="preserve"> allow Heiltsuk mariners to provide useful insights about local environments to </w:t>
      </w:r>
      <w:r w:rsidR="0076095D">
        <w:t>the PPA, and in exchange, the PPA could allow Heiltsuk observers</w:t>
      </w:r>
      <w:r w:rsidR="00FA4ACF">
        <w:t>, including younger Heiltsuk mariners interested in pursuing piloting,</w:t>
      </w:r>
      <w:r w:rsidR="0076095D">
        <w:t xml:space="preserve"> to </w:t>
      </w:r>
      <w:r w:rsidR="00FA4ACF">
        <w:t xml:space="preserve">shadow current pilots, and </w:t>
      </w:r>
      <w:r w:rsidR="0076095D">
        <w:t xml:space="preserve">assist in transits through their </w:t>
      </w:r>
      <w:r w:rsidR="00FA4ACF">
        <w:t xml:space="preserve">Heiltsuk </w:t>
      </w:r>
      <w:r w:rsidR="0076095D">
        <w:t>waters</w:t>
      </w:r>
      <w:r w:rsidR="00FA4ACF">
        <w:t>.</w:t>
      </w:r>
    </w:p>
    <w:p w14:paraId="73E9F559" w14:textId="77777777" w:rsidR="00DA51CB" w:rsidRDefault="00FB7A65" w:rsidP="00CA1EAB">
      <w:pPr>
        <w:pStyle w:val="Heading2"/>
      </w:pPr>
      <w:bookmarkStart w:id="10" w:name="_Toc507508245"/>
      <w:r>
        <w:t>Compulsory</w:t>
      </w:r>
      <w:r w:rsidR="0076575F">
        <w:t xml:space="preserve"> Pilotage</w:t>
      </w:r>
      <w:r w:rsidR="00BB2017">
        <w:t xml:space="preserve"> &amp; Waiver</w:t>
      </w:r>
      <w:r w:rsidR="0076575F">
        <w:t xml:space="preserve"> Requirements</w:t>
      </w:r>
      <w:bookmarkEnd w:id="10"/>
    </w:p>
    <w:p w14:paraId="717647DF" w14:textId="77777777" w:rsidR="00E1131B" w:rsidRDefault="00BB2017" w:rsidP="00177B40">
      <w:pPr>
        <w:pStyle w:val="Numbered"/>
        <w:ind w:hanging="720"/>
      </w:pPr>
      <w:r>
        <w:t>Heiltsuk</w:t>
      </w:r>
      <w:r w:rsidR="00D36D2B">
        <w:t xml:space="preserve">’s traditional waters are </w:t>
      </w:r>
      <w:r>
        <w:t xml:space="preserve">within a “Compulsory Pilotage Area” (CPA) designated under the </w:t>
      </w:r>
      <w:r w:rsidRPr="00DC0859">
        <w:rPr>
          <w:i/>
        </w:rPr>
        <w:t>Pacific Pilotage Regulations</w:t>
      </w:r>
      <w:r w:rsidR="00DC0859" w:rsidRPr="00DC0859">
        <w:rPr>
          <w:i/>
        </w:rPr>
        <w:t>,</w:t>
      </w:r>
      <w:r w:rsidR="00DC0859">
        <w:rPr>
          <w:i/>
        </w:rPr>
        <w:t xml:space="preserve"> </w:t>
      </w:r>
      <w:r w:rsidR="00DC0859">
        <w:t>C.R.C. c. 1270</w:t>
      </w:r>
      <w:r>
        <w:t xml:space="preserve"> (the “Regulations”). </w:t>
      </w:r>
      <w:r w:rsidR="00FC5423">
        <w:t>R</w:t>
      </w:r>
      <w:r>
        <w:t>ules concerning vessel operations in CPAs</w:t>
      </w:r>
      <w:r w:rsidR="00FC5423">
        <w:t>,</w:t>
      </w:r>
      <w:r>
        <w:t xml:space="preserve"> and </w:t>
      </w:r>
      <w:r w:rsidR="00FC5423">
        <w:t xml:space="preserve">especially </w:t>
      </w:r>
      <w:r>
        <w:t>the granting of waiv</w:t>
      </w:r>
      <w:r w:rsidR="00E1131B">
        <w:t>ers</w:t>
      </w:r>
      <w:r w:rsidR="00FC5423">
        <w:t>,</w:t>
      </w:r>
      <w:r w:rsidR="00E1131B">
        <w:t xml:space="preserve"> </w:t>
      </w:r>
      <w:r w:rsidR="00080DF4">
        <w:t xml:space="preserve">thus </w:t>
      </w:r>
      <w:r w:rsidR="008718E4">
        <w:t xml:space="preserve">relate </w:t>
      </w:r>
      <w:r w:rsidR="00E1131B">
        <w:t xml:space="preserve">directly </w:t>
      </w:r>
      <w:r w:rsidR="008718E4">
        <w:t xml:space="preserve">to </w:t>
      </w:r>
      <w:r w:rsidR="00992EED">
        <w:t xml:space="preserve">ship-source pollution </w:t>
      </w:r>
      <w:r w:rsidR="008718E4">
        <w:t xml:space="preserve">threats to marine resources in </w:t>
      </w:r>
      <w:r w:rsidR="00992EED">
        <w:t>our traditional waters.</w:t>
      </w:r>
      <w:r w:rsidR="00E1131B">
        <w:t xml:space="preserve"> </w:t>
      </w:r>
    </w:p>
    <w:p w14:paraId="61B02F9E" w14:textId="77777777" w:rsidR="00BB2017" w:rsidRDefault="00E1131B" w:rsidP="00177B40">
      <w:pPr>
        <w:pStyle w:val="Numbered"/>
        <w:ind w:hanging="720"/>
      </w:pPr>
      <w:r>
        <w:t xml:space="preserve">The </w:t>
      </w:r>
      <w:r>
        <w:rPr>
          <w:i/>
        </w:rPr>
        <w:t>Nathan E. Stewart</w:t>
      </w:r>
      <w:r>
        <w:t xml:space="preserve"> incident</w:t>
      </w:r>
      <w:r w:rsidR="00E90037">
        <w:t xml:space="preserve"> and the </w:t>
      </w:r>
      <w:r w:rsidR="00E90037" w:rsidRPr="00E90037">
        <w:rPr>
          <w:i/>
        </w:rPr>
        <w:t>Jake Shearer</w:t>
      </w:r>
      <w:r w:rsidR="00E90037">
        <w:t xml:space="preserve"> incidents</w:t>
      </w:r>
      <w:r>
        <w:t>, described above, exemplif</w:t>
      </w:r>
      <w:r w:rsidR="00E90037">
        <w:t>y</w:t>
      </w:r>
      <w:r>
        <w:t xml:space="preserve"> the risks</w:t>
      </w:r>
      <w:r w:rsidR="00936637">
        <w:t xml:space="preserve"> that</w:t>
      </w:r>
      <w:r>
        <w:t xml:space="preserve"> inadequate </w:t>
      </w:r>
      <w:r w:rsidR="00936637">
        <w:t xml:space="preserve">or unenforced </w:t>
      </w:r>
      <w:r>
        <w:t>regulations pose to</w:t>
      </w:r>
      <w:r w:rsidR="005E01D3">
        <w:t xml:space="preserve"> the resources of Indigenous peoples</w:t>
      </w:r>
      <w:r w:rsidR="00227461">
        <w:t>, especially where shipments of large quantities of hydrocarbons are concerned</w:t>
      </w:r>
      <w:r w:rsidR="00177B40">
        <w:t>.</w:t>
      </w:r>
    </w:p>
    <w:p w14:paraId="3F1FB91C" w14:textId="77777777" w:rsidR="00566F50" w:rsidRDefault="00566F50" w:rsidP="00C776D5">
      <w:pPr>
        <w:pStyle w:val="Heading3"/>
      </w:pPr>
      <w:bookmarkStart w:id="11" w:name="_Toc507508246"/>
      <w:r>
        <w:lastRenderedPageBreak/>
        <w:t>CPA Regulations</w:t>
      </w:r>
      <w:bookmarkEnd w:id="11"/>
    </w:p>
    <w:p w14:paraId="3F0D328D" w14:textId="77777777" w:rsidR="00177B40" w:rsidRPr="000738E2" w:rsidRDefault="00177B40" w:rsidP="00177B40">
      <w:pPr>
        <w:pStyle w:val="Numbered"/>
        <w:numPr>
          <w:ilvl w:val="0"/>
          <w:numId w:val="0"/>
        </w:numPr>
        <w:ind w:left="1080"/>
      </w:pPr>
      <w:r>
        <w:rPr>
          <w:b/>
        </w:rPr>
        <w:t xml:space="preserve">Recommendations: </w:t>
      </w:r>
    </w:p>
    <w:p w14:paraId="78591AB8" w14:textId="77777777" w:rsidR="00177B40" w:rsidRDefault="00177B40" w:rsidP="00177B40">
      <w:pPr>
        <w:pStyle w:val="Numbered"/>
        <w:numPr>
          <w:ilvl w:val="0"/>
          <w:numId w:val="4"/>
        </w:numPr>
      </w:pPr>
      <w:r>
        <w:t>Consult with First Nations to determine appropriate boundaries near traditional waters.</w:t>
      </w:r>
    </w:p>
    <w:p w14:paraId="0D62FA56" w14:textId="77777777" w:rsidR="00177B40" w:rsidRDefault="00177B40" w:rsidP="00177B40">
      <w:pPr>
        <w:pStyle w:val="Numbered"/>
        <w:numPr>
          <w:ilvl w:val="0"/>
          <w:numId w:val="4"/>
        </w:numPr>
      </w:pPr>
      <w:r>
        <w:t xml:space="preserve">Modify CPAs to include waters between the Scott Islands, Virgins Rocks and Gertrude Rock. </w:t>
      </w:r>
    </w:p>
    <w:p w14:paraId="292A6187" w14:textId="77777777" w:rsidR="00177B40" w:rsidRPr="00BB2017" w:rsidRDefault="00177B40" w:rsidP="00177B40">
      <w:pPr>
        <w:pStyle w:val="Numbered"/>
        <w:numPr>
          <w:ilvl w:val="0"/>
          <w:numId w:val="4"/>
        </w:numPr>
      </w:pPr>
      <w:r>
        <w:t xml:space="preserve">Modify PPA guidelines to include the following no-go areas for vessels carrying oil cargoes: </w:t>
      </w:r>
      <w:r w:rsidRPr="00A67476">
        <w:t>Johnson Channel</w:t>
      </w:r>
      <w:r>
        <w:t>, Return Channel and the Fisher Channel</w:t>
      </w:r>
    </w:p>
    <w:p w14:paraId="59EC38EE" w14:textId="77777777" w:rsidR="00A46491" w:rsidRDefault="00581ED1" w:rsidP="00177B40">
      <w:pPr>
        <w:pStyle w:val="Numbered"/>
        <w:ind w:hanging="720"/>
      </w:pPr>
      <w:r>
        <w:t>Heiltsuk waters are located within CPA Area 4, as designated by s. 3(d) of the Regulations. Area 4 generally follows the contours of the BC Coast</w:t>
      </w:r>
      <w:r w:rsidR="00CE384E">
        <w:t xml:space="preserve"> closely</w:t>
      </w:r>
      <w:r>
        <w:t xml:space="preserve"> and does no</w:t>
      </w:r>
      <w:r w:rsidR="00861418">
        <w:t xml:space="preserve">t extend substantially into </w:t>
      </w:r>
      <w:r>
        <w:t xml:space="preserve">Queen Charlotte Sound. Current CPA boundaries </w:t>
      </w:r>
      <w:r w:rsidR="00CE384E">
        <w:t>exclude</w:t>
      </w:r>
      <w:r w:rsidR="00861418">
        <w:t xml:space="preserve"> large swaths of water in </w:t>
      </w:r>
      <w:r>
        <w:t>Queen Ch</w:t>
      </w:r>
      <w:r w:rsidR="00A46491">
        <w:t>arlotte Sound and Hecate Strait</w:t>
      </w:r>
      <w:r w:rsidR="00CE384E">
        <w:t xml:space="preserve">. Heiltsuk views the current boundaries as under-inclusive. This </w:t>
      </w:r>
      <w:r w:rsidR="00A46491">
        <w:t xml:space="preserve">under-inclusivity increases the risk that vessels will transit </w:t>
      </w:r>
      <w:r w:rsidR="00A92441">
        <w:t>near</w:t>
      </w:r>
      <w:r w:rsidR="00A46491">
        <w:t xml:space="preserve"> Heiltsuk waters without appropriate safety systems and policies. </w:t>
      </w:r>
      <w:r w:rsidR="00CE384E">
        <w:t xml:space="preserve"> </w:t>
      </w:r>
    </w:p>
    <w:p w14:paraId="5650E7D6" w14:textId="77777777" w:rsidR="00566F50" w:rsidRDefault="00A46491" w:rsidP="00177B40">
      <w:pPr>
        <w:pStyle w:val="Numbered"/>
        <w:ind w:hanging="720"/>
      </w:pPr>
      <w:r>
        <w:t xml:space="preserve">Heiltsuk mariners suggest a more appropriate boundary would extend from the Scott Islands, off of Cape Scott, north east to the Virgin Rocks and then north-west to Gertrude Rock, off the coast of Aristazabal Island. This new boundary would provide added protection to Heiltsuk waters. Simultaneously, the new boundaries would not unduly impact navigation through the Queen </w:t>
      </w:r>
      <w:r w:rsidR="003C3276">
        <w:t>Charlotte</w:t>
      </w:r>
      <w:r>
        <w:t xml:space="preserve"> Sound and Hecate Strait. </w:t>
      </w:r>
    </w:p>
    <w:p w14:paraId="78DAF3BA" w14:textId="77777777" w:rsidR="00767C70" w:rsidRDefault="00767C70" w:rsidP="00177B40">
      <w:pPr>
        <w:pStyle w:val="Numbered"/>
        <w:ind w:hanging="720"/>
      </w:pPr>
      <w:r>
        <w:t>Heiltsuk views the current compulsory pilotage applicability criteria under the Regulations as generally appropriate. The Regulations provide that compulsory pilotage applies to all non-pleasure craft over 350 gross tons and pleasure craft over 500 gross tons, subject to certain exceptions. (Regulations, s. 9) Likewise, Heiltsuk does not believe that CPA criteria must require consideration of cargo types.</w:t>
      </w:r>
    </w:p>
    <w:p w14:paraId="02C5117F" w14:textId="77777777" w:rsidR="00767C70" w:rsidRDefault="00767C70" w:rsidP="00177B40">
      <w:pPr>
        <w:pStyle w:val="Numbered"/>
        <w:ind w:hanging="720"/>
      </w:pPr>
      <w:r>
        <w:t xml:space="preserve">Heiltsuk is aware of guidelines </w:t>
      </w:r>
      <w:r w:rsidR="008E26D3">
        <w:t xml:space="preserve">issued by the PPA in September </w:t>
      </w:r>
      <w:r>
        <w:t xml:space="preserve">2017. These guidelines, amongst other provisions, created several no-go routes for ships carrying oil cargoes. The guidelines currently </w:t>
      </w:r>
      <w:r w:rsidR="00CA0667">
        <w:t>provide</w:t>
      </w:r>
      <w:r>
        <w:t>:</w:t>
      </w:r>
    </w:p>
    <w:p w14:paraId="5D3CF067" w14:textId="77777777" w:rsidR="001566EF" w:rsidRDefault="00767C70" w:rsidP="00767C70">
      <w:pPr>
        <w:pStyle w:val="Numbered"/>
        <w:numPr>
          <w:ilvl w:val="0"/>
          <w:numId w:val="0"/>
        </w:numPr>
        <w:ind w:left="1440"/>
      </w:pPr>
      <w:r>
        <w:t xml:space="preserve">For vessels carrying or pushing/towing oil cargoes, the following are NO-GO areas: </w:t>
      </w:r>
      <w:r w:rsidR="001566EF">
        <w:t>FitzHugh Sound, Lama Pass, Seaforth Channel, Boat Bluff and Heikish Narrows, Princess Royal Channel, Grenville Channel, Laredo Sound and Principe Channel.</w:t>
      </w:r>
      <w:r w:rsidR="001566EF">
        <w:rPr>
          <w:rStyle w:val="FootnoteReference"/>
        </w:rPr>
        <w:footnoteReference w:id="1"/>
      </w:r>
    </w:p>
    <w:p w14:paraId="05DF9343" w14:textId="035E39F5" w:rsidR="00767C70" w:rsidRDefault="001566EF" w:rsidP="00177B40">
      <w:pPr>
        <w:pStyle w:val="Numbered"/>
        <w:ind w:hanging="720"/>
      </w:pPr>
      <w:r>
        <w:lastRenderedPageBreak/>
        <w:t xml:space="preserve">Heiltsuk additionally submits that the following waters should be declared off-limits to ships carrying oil as a cargo: </w:t>
      </w:r>
      <w:r w:rsidR="005D5E89">
        <w:t>Johnson Channel</w:t>
      </w:r>
      <w:r>
        <w:t>, Return Channel and Fisher Channel.</w:t>
      </w:r>
    </w:p>
    <w:p w14:paraId="6D2134C6" w14:textId="77777777" w:rsidR="0076575F" w:rsidRDefault="0076575F" w:rsidP="00C776D5">
      <w:pPr>
        <w:pStyle w:val="Heading3"/>
      </w:pPr>
      <w:bookmarkStart w:id="12" w:name="_Toc507508247"/>
      <w:r>
        <w:t xml:space="preserve">Waiver </w:t>
      </w:r>
      <w:r w:rsidR="000E4E47">
        <w:t>Regulations</w:t>
      </w:r>
      <w:bookmarkEnd w:id="12"/>
    </w:p>
    <w:p w14:paraId="2DF27C0D" w14:textId="77777777" w:rsidR="00177B40" w:rsidRPr="00177B40" w:rsidRDefault="00177B40" w:rsidP="00177B40">
      <w:pPr>
        <w:pStyle w:val="Numbered"/>
        <w:numPr>
          <w:ilvl w:val="0"/>
          <w:numId w:val="0"/>
        </w:numPr>
        <w:ind w:left="1080"/>
        <w:rPr>
          <w:b/>
        </w:rPr>
      </w:pPr>
      <w:r w:rsidRPr="00177B40">
        <w:rPr>
          <w:b/>
        </w:rPr>
        <w:t>Recommendations</w:t>
      </w:r>
    </w:p>
    <w:p w14:paraId="4A8DDCC2" w14:textId="77777777" w:rsidR="00177B40" w:rsidRDefault="00177B40" w:rsidP="00177B40">
      <w:pPr>
        <w:pStyle w:val="Numbered"/>
        <w:numPr>
          <w:ilvl w:val="0"/>
          <w:numId w:val="4"/>
        </w:numPr>
      </w:pPr>
      <w:r>
        <w:t xml:space="preserve">While a vessel is transiting pilotage waters, it must have two persons on the bridge at all times, and at least one of those persons must hold a pilotage waiver </w:t>
      </w:r>
      <w:r w:rsidR="00EF03DE">
        <w:t>(</w:t>
      </w:r>
      <w:r>
        <w:t>or a pilotage licence</w:t>
      </w:r>
      <w:r w:rsidR="00EF03DE">
        <w:t>)</w:t>
      </w:r>
      <w:r>
        <w:t>.</w:t>
      </w:r>
    </w:p>
    <w:p w14:paraId="3F5AD6BE" w14:textId="77777777" w:rsidR="000E4E47" w:rsidRDefault="000E4E47" w:rsidP="00177B40">
      <w:pPr>
        <w:pStyle w:val="Numbered"/>
        <w:ind w:hanging="720"/>
      </w:pPr>
      <w:r>
        <w:t xml:space="preserve">Vessels subject to compulsory pilotage may apply to pilotage authorities for waivers from pilotage requirements. The power to issue waivers and establish conditions for the issuance of waivers is granted to pilotage authorities under s. 20(1)(c) of the Act. The Regulations currently set out the Pacific waiver framework in s. 10. </w:t>
      </w:r>
    </w:p>
    <w:p w14:paraId="1AED0FD1" w14:textId="77777777" w:rsidR="005D5A63" w:rsidRDefault="000E4E47" w:rsidP="00177B40">
      <w:pPr>
        <w:pStyle w:val="Numbered"/>
        <w:ind w:hanging="720"/>
      </w:pPr>
      <w:r>
        <w:t xml:space="preserve">The </w:t>
      </w:r>
      <w:r>
        <w:rPr>
          <w:i/>
        </w:rPr>
        <w:t>Nathan E. Stewart</w:t>
      </w:r>
      <w:r>
        <w:t xml:space="preserve"> was operating under waiver at the time of its grounding</w:t>
      </w:r>
      <w:r w:rsidR="00B30DF7">
        <w:t>, but</w:t>
      </w:r>
      <w:r>
        <w:t xml:space="preserve"> </w:t>
      </w:r>
      <w:r w:rsidR="00B30DF7">
        <w:t>p</w:t>
      </w:r>
      <w:r>
        <w:t xml:space="preserve">reliminary evidence indicates that </w:t>
      </w:r>
      <w:r w:rsidR="009911CF">
        <w:t>no</w:t>
      </w:r>
      <w:r w:rsidR="008E26D3">
        <w:t xml:space="preserve"> crew-</w:t>
      </w:r>
      <w:r>
        <w:t xml:space="preserve">member </w:t>
      </w:r>
      <w:r w:rsidR="00EF05C4">
        <w:t xml:space="preserve">qualifying for a waiver </w:t>
      </w:r>
      <w:r>
        <w:t xml:space="preserve">was on deck at the time of grounding. </w:t>
      </w:r>
      <w:r w:rsidR="005D5A63">
        <w:t>In light of evidence that the waiver system currently in place failed, Heiltsuk is deeply concerned that regulations place</w:t>
      </w:r>
      <w:r w:rsidR="003D0C4A">
        <w:t>, ensure, and enforce,</w:t>
      </w:r>
      <w:r w:rsidR="005D5A63">
        <w:t xml:space="preserve"> adequate safety precautions on vessels operating under waiver.</w:t>
      </w:r>
    </w:p>
    <w:p w14:paraId="138481C5" w14:textId="77777777" w:rsidR="0073204D" w:rsidRDefault="0073204D" w:rsidP="00177B40">
      <w:pPr>
        <w:pStyle w:val="Numbered"/>
        <w:ind w:hanging="720"/>
      </w:pPr>
      <w:r w:rsidRPr="0073204D">
        <w:t xml:space="preserve">The report of the U.S. National Transportation Safety Board indicates that when the </w:t>
      </w:r>
      <w:r w:rsidRPr="0073204D">
        <w:rPr>
          <w:i/>
        </w:rPr>
        <w:t>Nathan E. Stewart</w:t>
      </w:r>
      <w:r w:rsidRPr="0073204D">
        <w:t xml:space="preserve"> grounded, only the second mate was on watch. The vessel was not using the cross-track alarm function of its electronic chart system (ECS) which would raise an alert of the vessel deviated from its planned route. The vessel did not have a pilothouse alerter installed, to detect when its master or becomes incapacitated.</w:t>
      </w:r>
    </w:p>
    <w:p w14:paraId="5D7328EC" w14:textId="77777777" w:rsidR="00A505CF" w:rsidRDefault="00A505CF" w:rsidP="00177B40">
      <w:pPr>
        <w:pStyle w:val="Numbered"/>
        <w:ind w:hanging="720"/>
      </w:pPr>
      <w:r>
        <w:t>Heiltsuk submits that</w:t>
      </w:r>
      <w:r w:rsidR="00956DA1">
        <w:t>, subject to no-go routes,</w:t>
      </w:r>
      <w:r>
        <w:t xml:space="preserve"> it is not necessary to limit certain types of ships’ access to waiver</w:t>
      </w:r>
      <w:r w:rsidR="004B692F">
        <w:t>s, on the basis of that ship’s cargo or configuration</w:t>
      </w:r>
      <w:r>
        <w:t xml:space="preserve">. </w:t>
      </w:r>
      <w:r w:rsidR="00C64BC3">
        <w:t>Similarly, Heiltsuk does not take issue with waivers being issued for ships that are merely transiting Canadian pilotage waters for commercial purposes with no intent to deliver goods to Canadian communities along these waters.</w:t>
      </w:r>
      <w:r w:rsidR="00613AC0">
        <w:t xml:space="preserve"> Such leniency requires, however, that government be in a position to ensure that all ships </w:t>
      </w:r>
      <w:r w:rsidR="00035CF4">
        <w:t xml:space="preserve">actually comply with </w:t>
      </w:r>
      <w:r w:rsidR="00BD62DC">
        <w:t>safety measures</w:t>
      </w:r>
      <w:r w:rsidR="005E0A71">
        <w:t>, such as Guideline requirements that vessels with waivers employ a Bridge Navigational Watch Assistant System set to a maximum interval of 10 minutes and Class A AIS set to transmit</w:t>
      </w:r>
      <w:r w:rsidR="00BD62DC">
        <w:t>.</w:t>
      </w:r>
    </w:p>
    <w:p w14:paraId="25F5D514" w14:textId="77777777" w:rsidR="00D4684B" w:rsidRDefault="008F3C20" w:rsidP="00177B40">
      <w:pPr>
        <w:pStyle w:val="Numbered"/>
        <w:ind w:hanging="720"/>
      </w:pPr>
      <w:r>
        <w:t xml:space="preserve">While </w:t>
      </w:r>
      <w:r w:rsidR="00BA2C8F">
        <w:t>the standards introduced in the Guidelines are generally appropriate</w:t>
      </w:r>
      <w:r>
        <w:t>,</w:t>
      </w:r>
      <w:r w:rsidR="00D4684B">
        <w:t xml:space="preserve"> the Guidelines provide that two persons must be on the bridge at all times only in “confined waters,” defined as “any passage in which the vessel’s planned track necessitates passing within 1 nautical mile of grounding dangers to the vessel.” The Guidelines consider this requirement to be met where the second person leaves the bridge while a BNWAS is operating at 10-minute intervals and </w:t>
      </w:r>
      <w:r w:rsidR="00D4684B">
        <w:lastRenderedPageBreak/>
        <w:t xml:space="preserve">maintains regular voice contact with the remaining person on the bridge, subject to the </w:t>
      </w:r>
      <w:r w:rsidR="00D4684B" w:rsidRPr="008F3C20">
        <w:rPr>
          <w:i/>
        </w:rPr>
        <w:t>Marine Personnel Regulations</w:t>
      </w:r>
      <w:r w:rsidR="00D4684B">
        <w:t>.</w:t>
      </w:r>
      <w:r>
        <w:t xml:space="preserve"> </w:t>
      </w:r>
    </w:p>
    <w:p w14:paraId="62FC36F5" w14:textId="77777777" w:rsidR="00E96E39" w:rsidRDefault="00EF03DE" w:rsidP="00177B40">
      <w:pPr>
        <w:pStyle w:val="Numbered"/>
        <w:ind w:hanging="720"/>
      </w:pPr>
      <w:r>
        <w:t xml:space="preserve">Given the events of the </w:t>
      </w:r>
      <w:r w:rsidRPr="00EF03DE">
        <w:rPr>
          <w:i/>
        </w:rPr>
        <w:t>Nathan E. Stewart</w:t>
      </w:r>
      <w:r>
        <w:t xml:space="preserve">, more stringent measures are clearly required. Give the reports of the crew on the </w:t>
      </w:r>
      <w:r w:rsidRPr="00EF03DE">
        <w:rPr>
          <w:i/>
        </w:rPr>
        <w:t>Nathan E. Stewart</w:t>
      </w:r>
      <w:r>
        <w:t xml:space="preserve"> to the NTSB, it would appear that the manner in which they manned the </w:t>
      </w:r>
      <w:r w:rsidRPr="008E26D3">
        <w:rPr>
          <w:i/>
        </w:rPr>
        <w:t>Nathan E. Stewart</w:t>
      </w:r>
      <w:r>
        <w:t xml:space="preserve"> was commonplace. Heiltsuk </w:t>
      </w:r>
      <w:r w:rsidR="00BA2C8F">
        <w:t xml:space="preserve">submits that waivers should require </w:t>
      </w:r>
      <w:r w:rsidR="00D401DF">
        <w:t xml:space="preserve">that </w:t>
      </w:r>
      <w:r w:rsidR="00BA2C8F">
        <w:t xml:space="preserve">two persons, at least one of whom holds a waiver, should be on the bridge at all times during a vessel’s navigation through pilotage waters. </w:t>
      </w:r>
    </w:p>
    <w:p w14:paraId="00D534EB" w14:textId="77777777" w:rsidR="00C64BC3" w:rsidRDefault="00C64BC3" w:rsidP="00C776D5">
      <w:pPr>
        <w:pStyle w:val="Heading3"/>
      </w:pPr>
      <w:bookmarkStart w:id="13" w:name="_Toc507508248"/>
      <w:r>
        <w:t>Transparency in the Waiver process</w:t>
      </w:r>
      <w:bookmarkEnd w:id="13"/>
    </w:p>
    <w:p w14:paraId="0E5BBBAB" w14:textId="77777777" w:rsidR="00177B40" w:rsidRDefault="00177B40" w:rsidP="00EF03DE">
      <w:pPr>
        <w:pStyle w:val="Numbered"/>
        <w:keepNext/>
        <w:numPr>
          <w:ilvl w:val="0"/>
          <w:numId w:val="0"/>
        </w:numPr>
        <w:ind w:left="1800" w:hanging="720"/>
        <w:rPr>
          <w:b/>
        </w:rPr>
      </w:pPr>
      <w:r>
        <w:rPr>
          <w:b/>
        </w:rPr>
        <w:t>Recommendations:</w:t>
      </w:r>
    </w:p>
    <w:p w14:paraId="703B4D9C" w14:textId="77777777" w:rsidR="00177B40" w:rsidRPr="000C00E8" w:rsidRDefault="00177B40" w:rsidP="00177B40">
      <w:pPr>
        <w:pStyle w:val="Numbered"/>
        <w:numPr>
          <w:ilvl w:val="0"/>
          <w:numId w:val="5"/>
        </w:numPr>
        <w:rPr>
          <w:b/>
        </w:rPr>
      </w:pPr>
      <w:r>
        <w:t>Pilotage authorities should make accessible</w:t>
      </w:r>
      <w:r w:rsidR="00EF03DE">
        <w:t>, to Indigenous governments,</w:t>
      </w:r>
      <w:r>
        <w:t xml:space="preserve"> information on vessels operating in pilotage waters under waiver</w:t>
      </w:r>
      <w:r w:rsidR="00EF03DE">
        <w:t xml:space="preserve">, including their route, their cargo, whether they will be </w:t>
      </w:r>
      <w:r w:rsidR="00B51B44">
        <w:t xml:space="preserve">loading or </w:t>
      </w:r>
      <w:r w:rsidR="00EF03DE">
        <w:t>unloading, and their historical safety records.</w:t>
      </w:r>
    </w:p>
    <w:p w14:paraId="2E1D51BF" w14:textId="77777777" w:rsidR="004A4E9B" w:rsidRDefault="00C64BC3" w:rsidP="00177B40">
      <w:pPr>
        <w:pStyle w:val="Numbered"/>
        <w:ind w:hanging="720"/>
      </w:pPr>
      <w:r>
        <w:t>The current legislative framework makes little to no allowance for mon</w:t>
      </w:r>
      <w:r w:rsidR="004A4E9B">
        <w:t>itoring</w:t>
      </w:r>
      <w:r w:rsidR="00C55C10">
        <w:t xml:space="preserve"> </w:t>
      </w:r>
      <w:r w:rsidR="00C55C10" w:rsidRPr="00C55C10">
        <w:rPr>
          <w:i/>
        </w:rPr>
        <w:t xml:space="preserve">by </w:t>
      </w:r>
      <w:r w:rsidR="00C55C10" w:rsidRPr="00177B40">
        <w:rPr>
          <w:i/>
        </w:rPr>
        <w:t xml:space="preserve">Indigenous </w:t>
      </w:r>
      <w:r w:rsidR="00C55C10" w:rsidRPr="00C55C10">
        <w:rPr>
          <w:i/>
        </w:rPr>
        <w:t>governments</w:t>
      </w:r>
      <w:r w:rsidR="004A4E9B">
        <w:t xml:space="preserve"> of waiver issuances or the operation of vessels under waiver</w:t>
      </w:r>
      <w:r w:rsidR="00EF03DE">
        <w:t>s</w:t>
      </w:r>
      <w:r>
        <w:t xml:space="preserve">. </w:t>
      </w:r>
      <w:r w:rsidR="003636EA">
        <w:t>V</w:t>
      </w:r>
      <w:r>
        <w:t xml:space="preserve">essels operating under waiver </w:t>
      </w:r>
      <w:r w:rsidR="003636EA">
        <w:t>may currently</w:t>
      </w:r>
      <w:r>
        <w:t xml:space="preserve"> transit </w:t>
      </w:r>
      <w:r w:rsidR="003636EA">
        <w:t xml:space="preserve">through </w:t>
      </w:r>
      <w:r>
        <w:t xml:space="preserve">traditional waters </w:t>
      </w:r>
      <w:r w:rsidR="003636EA">
        <w:t xml:space="preserve">if Indigenous governments </w:t>
      </w:r>
      <w:r>
        <w:t xml:space="preserve">without </w:t>
      </w:r>
      <w:r w:rsidR="004A4E9B">
        <w:t>the</w:t>
      </w:r>
      <w:r w:rsidR="003636EA">
        <w:t>ir</w:t>
      </w:r>
      <w:r w:rsidR="004A4E9B">
        <w:t xml:space="preserve"> knowledge</w:t>
      </w:r>
      <w:r>
        <w:t>.</w:t>
      </w:r>
      <w:r w:rsidR="004A4E9B">
        <w:t xml:space="preserve"> </w:t>
      </w:r>
      <w:r w:rsidR="002D59E5">
        <w:t xml:space="preserve">Yet Indigenous governments are best positioned to be first responders in the event of any accident. </w:t>
      </w:r>
      <w:r w:rsidR="003B3C61">
        <w:t>The lack of a framework that allows Indigenous governments to monitor vessels with waivers fails to recognize the interests of such governments to steward their resources, and fails to make use of the proximity of Indigenous communities to act as first responders.</w:t>
      </w:r>
    </w:p>
    <w:p w14:paraId="35D5D631" w14:textId="77777777" w:rsidR="00EF03DE" w:rsidRDefault="00EF03DE" w:rsidP="00177B40">
      <w:pPr>
        <w:pStyle w:val="Numbered"/>
        <w:ind w:hanging="720"/>
      </w:pPr>
      <w:r>
        <w:t xml:space="preserve">In the </w:t>
      </w:r>
      <w:r w:rsidRPr="00EF03DE">
        <w:rPr>
          <w:i/>
        </w:rPr>
        <w:t>Nathan E. Stewart</w:t>
      </w:r>
      <w:r>
        <w:t xml:space="preserve"> and </w:t>
      </w:r>
      <w:r w:rsidRPr="00EF03DE">
        <w:rPr>
          <w:i/>
        </w:rPr>
        <w:t>Jake Shearer</w:t>
      </w:r>
      <w:r>
        <w:t xml:space="preserve"> incidents, Heiltsuk had no information as to the route these ATBs were taking, their cargo, or their compliance with manning requirements, including pilots.</w:t>
      </w:r>
    </w:p>
    <w:p w14:paraId="6786EC6A" w14:textId="77777777" w:rsidR="000E4E47" w:rsidRDefault="00830DF3" w:rsidP="00177B40">
      <w:pPr>
        <w:pStyle w:val="Numbered"/>
        <w:ind w:hanging="720"/>
      </w:pPr>
      <w:r>
        <w:t xml:space="preserve">Heiltsuk submits </w:t>
      </w:r>
      <w:r w:rsidR="009E7BA5">
        <w:t xml:space="preserve">that </w:t>
      </w:r>
      <w:r w:rsidR="00EF03DE">
        <w:t xml:space="preserve">Indigenous governments </w:t>
      </w:r>
      <w:r w:rsidR="00537C54">
        <w:t xml:space="preserve">should have </w:t>
      </w:r>
      <w:r w:rsidR="009E7BA5">
        <w:t>access</w:t>
      </w:r>
      <w:r w:rsidR="00537C54">
        <w:t xml:space="preserve"> to</w:t>
      </w:r>
      <w:r w:rsidR="009E7BA5">
        <w:t xml:space="preserve"> inform</w:t>
      </w:r>
      <w:r w:rsidR="008E26D3">
        <w:t>ation on which vessels and crew-</w:t>
      </w:r>
      <w:r w:rsidR="009E7BA5">
        <w:t>members are granted waivers at any given time</w:t>
      </w:r>
      <w:r w:rsidR="00FD0340">
        <w:t>;</w:t>
      </w:r>
      <w:r w:rsidR="009E7BA5">
        <w:t xml:space="preserve"> information about the conditions of that vessel’s waiver</w:t>
      </w:r>
      <w:r w:rsidR="00FD0340">
        <w:t xml:space="preserve">; and information </w:t>
      </w:r>
      <w:r w:rsidR="00FD28D5">
        <w:t>relevant to pilotage issues, such as whether it may travel in</w:t>
      </w:r>
      <w:r w:rsidR="00FD0340">
        <w:t xml:space="preserve"> “no-go” areas</w:t>
      </w:r>
      <w:r w:rsidR="009E7BA5">
        <w:t xml:space="preserve">. For </w:t>
      </w:r>
      <w:r w:rsidR="00FD0340">
        <w:t xml:space="preserve">example, </w:t>
      </w:r>
      <w:r w:rsidR="00864517">
        <w:t xml:space="preserve">Heiltsuk should be able to know </w:t>
      </w:r>
      <w:r w:rsidR="009E7BA5">
        <w:t>whether or not a vessel’s primary cargo is oil or oil products</w:t>
      </w:r>
      <w:r w:rsidR="00864517">
        <w:t>,</w:t>
      </w:r>
      <w:r w:rsidR="009E7BA5">
        <w:t xml:space="preserve"> and therefore unable to transit “no-go” areas described above and in the September Guidelines. </w:t>
      </w:r>
    </w:p>
    <w:p w14:paraId="3E289DD0" w14:textId="77777777" w:rsidR="000C00E8" w:rsidRDefault="000C00E8" w:rsidP="00177B40">
      <w:pPr>
        <w:pStyle w:val="Numbered"/>
        <w:ind w:hanging="720"/>
      </w:pPr>
      <w:r>
        <w:t xml:space="preserve">Further, where a vessel operating under </w:t>
      </w:r>
      <w:r w:rsidR="00E72828">
        <w:t xml:space="preserve">a </w:t>
      </w:r>
      <w:r>
        <w:t>waiver enters a</w:t>
      </w:r>
      <w:r w:rsidR="00E72828">
        <w:t xml:space="preserve">n Indigenous government’s traditional waters, </w:t>
      </w:r>
      <w:r>
        <w:t>th</w:t>
      </w:r>
      <w:r w:rsidR="00E72828">
        <w:t>e</w:t>
      </w:r>
      <w:r>
        <w:t xml:space="preserve"> </w:t>
      </w:r>
      <w:r w:rsidR="00E72828">
        <w:t xml:space="preserve">Indigenous government </w:t>
      </w:r>
      <w:r>
        <w:t xml:space="preserve">should be provided with information on the vessel’s estimated times of arrival and departure in the waters, its anticipated route, cargo and information on the vessel itself. This should include the vessel’s name, crew information and past safety records. </w:t>
      </w:r>
    </w:p>
    <w:p w14:paraId="373AFF58" w14:textId="77777777" w:rsidR="00137E88" w:rsidRDefault="002A1EC9" w:rsidP="00177B40">
      <w:pPr>
        <w:pStyle w:val="Numbered"/>
        <w:ind w:hanging="720"/>
      </w:pPr>
      <w:r>
        <w:t xml:space="preserve">Heiltsuk, like many other coastal Indigenous governments, has never ceded jurisdiction over its </w:t>
      </w:r>
      <w:r w:rsidR="00A95933">
        <w:t xml:space="preserve">lands, including water-covered lands that make up its </w:t>
      </w:r>
      <w:r>
        <w:lastRenderedPageBreak/>
        <w:t xml:space="preserve">traditional marine areas. </w:t>
      </w:r>
      <w:r w:rsidR="003D6EB1">
        <w:t xml:space="preserve">Heiltsuk asserts jurisdiction over its traditional waters, which </w:t>
      </w:r>
      <w:r w:rsidR="00137E88">
        <w:t>UNDRIP Article 26</w:t>
      </w:r>
      <w:r w:rsidR="00A95933">
        <w:t xml:space="preserve"> stipulates should be recognized</w:t>
      </w:r>
      <w:r w:rsidR="00137E88">
        <w:t>:</w:t>
      </w:r>
    </w:p>
    <w:p w14:paraId="6D629115" w14:textId="77777777" w:rsidR="00137E88" w:rsidRDefault="00137E88" w:rsidP="00137E88">
      <w:pPr>
        <w:pStyle w:val="Numbered"/>
        <w:numPr>
          <w:ilvl w:val="0"/>
          <w:numId w:val="0"/>
        </w:numPr>
        <w:ind w:left="1440"/>
      </w:pPr>
      <w:r>
        <w:t>Article 26</w:t>
      </w:r>
    </w:p>
    <w:p w14:paraId="7964C2B8" w14:textId="77777777" w:rsidR="00061683" w:rsidRDefault="00061683" w:rsidP="00061683">
      <w:pPr>
        <w:pStyle w:val="Numbered"/>
        <w:numPr>
          <w:ilvl w:val="0"/>
          <w:numId w:val="0"/>
        </w:numPr>
        <w:ind w:left="1440"/>
      </w:pPr>
      <w:r>
        <w:t>1. Indigenous peoples have the right to the lands, territories and resources which they have traditionally owned, occupied or other- wise used or acquired.</w:t>
      </w:r>
    </w:p>
    <w:p w14:paraId="298F02DC" w14:textId="77777777" w:rsidR="00061683" w:rsidRDefault="00061683" w:rsidP="00061683">
      <w:pPr>
        <w:pStyle w:val="Numbered"/>
        <w:numPr>
          <w:ilvl w:val="0"/>
          <w:numId w:val="0"/>
        </w:numPr>
        <w:ind w:left="1440"/>
      </w:pPr>
      <w:r>
        <w:t>2. Indigenous peoples have the right to own, use, develop and control the lands, territories and reso</w:t>
      </w:r>
      <w:r w:rsidR="00A95933">
        <w:t>urces that they possess by rea</w:t>
      </w:r>
      <w:r>
        <w:t>son of traditional ownership or other traditional occupation or use, as well as those which they have otherwise acquired.</w:t>
      </w:r>
    </w:p>
    <w:p w14:paraId="6E6D68B1" w14:textId="77777777" w:rsidR="009061C1" w:rsidRDefault="00061683" w:rsidP="00137E88">
      <w:pPr>
        <w:pStyle w:val="Numbered"/>
        <w:numPr>
          <w:ilvl w:val="0"/>
          <w:numId w:val="0"/>
        </w:numPr>
        <w:ind w:left="1440"/>
      </w:pPr>
      <w:r>
        <w:t>3. States shall give legal recognition and protection to these lands, territories and resources. Such recognition shall be conducted with due respect to the customs, traditions and land tenure systems of the indigenous peoples concerned.</w:t>
      </w:r>
      <w:r w:rsidR="002A1EC9">
        <w:t xml:space="preserve">  </w:t>
      </w:r>
    </w:p>
    <w:p w14:paraId="76564609" w14:textId="77777777" w:rsidR="00EF2C06" w:rsidRPr="00EF2C06" w:rsidRDefault="00EE499C" w:rsidP="00177B40">
      <w:pPr>
        <w:pStyle w:val="Numbered"/>
        <w:ind w:hanging="720"/>
      </w:pPr>
      <w:r>
        <w:t>This jurisdiction includes a right of Heiltsuk to know about ships transiting through Heiltsuk waters that may represent a threat to Heiltsuk marine resources, and are, for that reasons, subject to regulation.</w:t>
      </w:r>
    </w:p>
    <w:p w14:paraId="66C9AB4C" w14:textId="77777777" w:rsidR="0076575F" w:rsidRDefault="009061C1" w:rsidP="00CA1EAB">
      <w:pPr>
        <w:pStyle w:val="Heading2"/>
      </w:pPr>
      <w:bookmarkStart w:id="14" w:name="_Toc507508249"/>
      <w:r>
        <w:t>Enforcement &amp; Penalties</w:t>
      </w:r>
      <w:bookmarkEnd w:id="14"/>
    </w:p>
    <w:p w14:paraId="61BD6F54" w14:textId="77777777" w:rsidR="00B75833" w:rsidRDefault="009061C1" w:rsidP="00177B40">
      <w:pPr>
        <w:pStyle w:val="Numbered"/>
        <w:ind w:hanging="720"/>
      </w:pPr>
      <w:r>
        <w:t xml:space="preserve">An effective legislation framework </w:t>
      </w:r>
      <w:r w:rsidR="00DF619C">
        <w:t xml:space="preserve">allows </w:t>
      </w:r>
      <w:r>
        <w:t xml:space="preserve">authorities to monitor industry compliance and deter non-compliance through penalties. Heiltsuk submits that the Act and its regulatory scheme must confer greater powers </w:t>
      </w:r>
      <w:r w:rsidR="00BA1349">
        <w:t xml:space="preserve">and duties </w:t>
      </w:r>
      <w:r>
        <w:t xml:space="preserve">on authorities to </w:t>
      </w:r>
      <w:r w:rsidR="00BA1349">
        <w:t xml:space="preserve">detect </w:t>
      </w:r>
      <w:r w:rsidR="00AD4695">
        <w:t xml:space="preserve">and </w:t>
      </w:r>
      <w:r w:rsidR="00C46869">
        <w:t xml:space="preserve">penalize non-compliance. </w:t>
      </w:r>
    </w:p>
    <w:p w14:paraId="3B64D8DC" w14:textId="77777777" w:rsidR="00B75833" w:rsidRDefault="00B75833" w:rsidP="00C776D5">
      <w:pPr>
        <w:pStyle w:val="Heading3"/>
      </w:pPr>
      <w:bookmarkStart w:id="15" w:name="_Toc507508250"/>
      <w:r>
        <w:t>Investigations</w:t>
      </w:r>
      <w:bookmarkEnd w:id="15"/>
    </w:p>
    <w:p w14:paraId="26E0469E" w14:textId="77777777" w:rsidR="00B94F38" w:rsidRDefault="00B94F38" w:rsidP="00B94F38">
      <w:pPr>
        <w:pStyle w:val="Numbered"/>
        <w:numPr>
          <w:ilvl w:val="0"/>
          <w:numId w:val="0"/>
        </w:numPr>
        <w:ind w:left="1080"/>
        <w:rPr>
          <w:b/>
        </w:rPr>
      </w:pPr>
      <w:r w:rsidRPr="00B94F38">
        <w:rPr>
          <w:b/>
        </w:rPr>
        <w:t>Recommendations</w:t>
      </w:r>
    </w:p>
    <w:p w14:paraId="0501D4F3" w14:textId="77777777" w:rsidR="00B94F38" w:rsidRDefault="00B94F38" w:rsidP="00B94F38">
      <w:pPr>
        <w:pStyle w:val="Numbered"/>
        <w:numPr>
          <w:ilvl w:val="0"/>
          <w:numId w:val="8"/>
        </w:numPr>
        <w:ind w:left="1440"/>
      </w:pPr>
      <w:r w:rsidRPr="00B94F38">
        <w:t xml:space="preserve">The Act or the Regulations should expressly authorize </w:t>
      </w:r>
      <w:r>
        <w:t xml:space="preserve">and require </w:t>
      </w:r>
      <w:r w:rsidRPr="00B94F38">
        <w:t xml:space="preserve">authorities to </w:t>
      </w:r>
      <w:r>
        <w:t>conduct inspections.</w:t>
      </w:r>
    </w:p>
    <w:p w14:paraId="32530E93" w14:textId="77777777" w:rsidR="00B94F38" w:rsidRPr="00B94F38" w:rsidRDefault="00B94F38" w:rsidP="00B94F38">
      <w:pPr>
        <w:pStyle w:val="Numbered"/>
        <w:numPr>
          <w:ilvl w:val="0"/>
          <w:numId w:val="8"/>
        </w:numPr>
        <w:ind w:left="1440"/>
      </w:pPr>
      <w:r>
        <w:t>The Act or the Regulations should expressly permit inspections by Indigenous governments.</w:t>
      </w:r>
    </w:p>
    <w:p w14:paraId="3762DBE5" w14:textId="77777777" w:rsidR="00D615A4" w:rsidRDefault="00D615A4" w:rsidP="00B94F38">
      <w:pPr>
        <w:pStyle w:val="Numbered"/>
        <w:ind w:hanging="720"/>
      </w:pPr>
      <w:r>
        <w:t xml:space="preserve">Heiltsuk submits that pilotage authorities should </w:t>
      </w:r>
      <w:r w:rsidR="00AC3FB9">
        <w:t xml:space="preserve">regularly inspect vessels to </w:t>
      </w:r>
      <w:r>
        <w:t>ensure compliance with applicable laws and regulations</w:t>
      </w:r>
      <w:r w:rsidR="00AC3FB9">
        <w:t>.</w:t>
      </w:r>
      <w:r>
        <w:t xml:space="preserve"> The PPA currently reserves </w:t>
      </w:r>
      <w:r w:rsidR="008D3A78">
        <w:t>a</w:t>
      </w:r>
      <w:r>
        <w:t xml:space="preserve"> right</w:t>
      </w:r>
      <w:r w:rsidR="008D3A78">
        <w:t>, under the Guidelines,</w:t>
      </w:r>
      <w:r>
        <w:t xml:space="preserve"> to inspect vessels</w:t>
      </w:r>
      <w:r w:rsidR="00B94F38">
        <w:t xml:space="preserve"> to verify waiver conditions</w:t>
      </w:r>
      <w:r w:rsidR="008D3A78">
        <w:t>:</w:t>
      </w:r>
    </w:p>
    <w:p w14:paraId="669AA666" w14:textId="77777777" w:rsidR="00D615A4" w:rsidRDefault="00D615A4" w:rsidP="00D615A4">
      <w:pPr>
        <w:pStyle w:val="Numbered"/>
        <w:numPr>
          <w:ilvl w:val="0"/>
          <w:numId w:val="0"/>
        </w:numPr>
        <w:ind w:left="1440"/>
      </w:pPr>
      <w:r>
        <w:t xml:space="preserve">PPA reserves the right of verification of waiver conditions by random checks by a PPA Manager or through cooperative boardings by Transport Canada Inspectors, RCMP or CCG [Canadian Coast Guard] Officers or others who have been requested to do so by the Authority. Copies of logs may be required. PPA has also instituted a system of “geo-fencing” by AIS </w:t>
      </w:r>
      <w:r>
        <w:lastRenderedPageBreak/>
        <w:t>to verify compliance of vessels passing key check-in points in the compulsory pilotage areas of the BC coast.</w:t>
      </w:r>
      <w:r>
        <w:rPr>
          <w:rStyle w:val="FootnoteReference"/>
        </w:rPr>
        <w:footnoteReference w:id="2"/>
      </w:r>
      <w:r>
        <w:t xml:space="preserve"> </w:t>
      </w:r>
    </w:p>
    <w:p w14:paraId="55EE7876" w14:textId="77777777" w:rsidR="00D615A4" w:rsidRDefault="00B94F38" w:rsidP="00B94F38">
      <w:pPr>
        <w:pStyle w:val="Numbered"/>
        <w:numPr>
          <w:ilvl w:val="0"/>
          <w:numId w:val="0"/>
        </w:numPr>
        <w:ind w:left="720"/>
      </w:pPr>
      <w:r>
        <w:t>T</w:t>
      </w:r>
      <w:r w:rsidR="00D615A4">
        <w:t>he Act and Regulations are</w:t>
      </w:r>
      <w:r w:rsidR="00354EA6">
        <w:t xml:space="preserve"> </w:t>
      </w:r>
      <w:r w:rsidR="00D615A4">
        <w:t>silent</w:t>
      </w:r>
      <w:r>
        <w:t>, however,</w:t>
      </w:r>
      <w:r w:rsidR="00D615A4">
        <w:t xml:space="preserve"> as to an</w:t>
      </w:r>
      <w:r w:rsidR="00354EA6">
        <w:t>y</w:t>
      </w:r>
      <w:r w:rsidR="00D615A4">
        <w:t xml:space="preserve"> authority’s power to investigate compliance. </w:t>
      </w:r>
    </w:p>
    <w:p w14:paraId="389025CD" w14:textId="77777777" w:rsidR="005014D8" w:rsidRDefault="005014D8" w:rsidP="00177B40">
      <w:pPr>
        <w:pStyle w:val="Numbered"/>
        <w:ind w:hanging="720"/>
      </w:pPr>
      <w:r>
        <w:t xml:space="preserve">The Act </w:t>
      </w:r>
      <w:r w:rsidR="00B94F38">
        <w:t xml:space="preserve">also </w:t>
      </w:r>
      <w:r>
        <w:t xml:space="preserve">does not adequately require pilotage authorities to investigate the conduct of ships operating under waiver in pilotage waters following marine accidents or occurrences. Under the Regulations, crew of such vessels are required to submit a Marine Occurrence Report </w:t>
      </w:r>
      <w:r w:rsidR="00D9610D">
        <w:t xml:space="preserve">to the PPA within 72 hours of the accident, subject to certain exceptions. (Regulations, s. 29) This regime </w:t>
      </w:r>
      <w:r w:rsidR="00FC0C8D">
        <w:t xml:space="preserve">does not, </w:t>
      </w:r>
      <w:r w:rsidR="00D9610D">
        <w:t>however</w:t>
      </w:r>
      <w:r w:rsidR="00FC0C8D">
        <w:t>,</w:t>
      </w:r>
      <w:r w:rsidR="00D9610D">
        <w:t xml:space="preserve"> adequately investigate compliance </w:t>
      </w:r>
      <w:r w:rsidR="00ED3810">
        <w:t xml:space="preserve">before an accident; </w:t>
      </w:r>
      <w:r w:rsidR="00D9610D">
        <w:t xml:space="preserve">it relies entirely on self-reporting from the vessel’s crew. </w:t>
      </w:r>
    </w:p>
    <w:p w14:paraId="0D0708A3" w14:textId="77777777" w:rsidR="00D615A4" w:rsidRPr="00B75833" w:rsidRDefault="00F054D2" w:rsidP="00177B40">
      <w:pPr>
        <w:pStyle w:val="Numbered"/>
        <w:ind w:hanging="720"/>
      </w:pPr>
      <w:r>
        <w:t>Heiltsuk submits that the current legislative framework be amended to provide for regular compliance investigations into vessels operating under waivers.</w:t>
      </w:r>
    </w:p>
    <w:p w14:paraId="61E2FC8D" w14:textId="77777777" w:rsidR="0037032E" w:rsidRPr="0037032E" w:rsidRDefault="0037032E" w:rsidP="00177B40">
      <w:pPr>
        <w:pStyle w:val="Numbered"/>
        <w:ind w:hanging="720"/>
      </w:pPr>
      <w:bookmarkStart w:id="16" w:name="_Toc507508251"/>
      <w:r>
        <w:t xml:space="preserve">Furthermore, </w:t>
      </w:r>
      <w:r w:rsidR="003B788C">
        <w:t xml:space="preserve">Indigenous governments should have the power to </w:t>
      </w:r>
      <w:r w:rsidR="00B94F38">
        <w:t xml:space="preserve">perform inspections, to </w:t>
      </w:r>
      <w:r w:rsidRPr="0037032E">
        <w:t xml:space="preserve">observe </w:t>
      </w:r>
      <w:r w:rsidR="001A7B66">
        <w:t xml:space="preserve">and participate in </w:t>
      </w:r>
      <w:r w:rsidRPr="0037032E">
        <w:t>investigations following marine accidents</w:t>
      </w:r>
      <w:r w:rsidR="001220FD">
        <w:t xml:space="preserve">, </w:t>
      </w:r>
      <w:r w:rsidR="00B94F38">
        <w:t xml:space="preserve">and </w:t>
      </w:r>
      <w:r w:rsidR="001A7B66">
        <w:t>have access to the results of such investigations.</w:t>
      </w:r>
      <w:r w:rsidR="002B65CA">
        <w:t xml:space="preserve"> Especially with respect to inspections, Indigenous governments are constantly present in their territorial waters, and have </w:t>
      </w:r>
      <w:r w:rsidR="0047630D">
        <w:t>easy</w:t>
      </w:r>
      <w:r w:rsidR="002B65CA">
        <w:t xml:space="preserve"> access to vessels in their waters.</w:t>
      </w:r>
    </w:p>
    <w:p w14:paraId="5BFF94EC" w14:textId="77777777" w:rsidR="0096411F" w:rsidRDefault="0096411F" w:rsidP="00C776D5">
      <w:pPr>
        <w:pStyle w:val="Heading3"/>
      </w:pPr>
      <w:r>
        <w:t>Penalties</w:t>
      </w:r>
      <w:bookmarkEnd w:id="16"/>
    </w:p>
    <w:p w14:paraId="77010A8E" w14:textId="77777777" w:rsidR="00177B40" w:rsidRDefault="00177B40" w:rsidP="00177B40">
      <w:pPr>
        <w:pStyle w:val="Numbered"/>
        <w:numPr>
          <w:ilvl w:val="0"/>
          <w:numId w:val="0"/>
        </w:numPr>
        <w:ind w:left="1800" w:hanging="720"/>
        <w:rPr>
          <w:b/>
        </w:rPr>
      </w:pPr>
      <w:r>
        <w:rPr>
          <w:b/>
        </w:rPr>
        <w:t xml:space="preserve">Recommendations: </w:t>
      </w:r>
    </w:p>
    <w:p w14:paraId="7DFEEE35" w14:textId="77777777" w:rsidR="00177B40" w:rsidRPr="00B75833" w:rsidRDefault="00177B40" w:rsidP="00177B40">
      <w:pPr>
        <w:pStyle w:val="Numbered"/>
        <w:numPr>
          <w:ilvl w:val="0"/>
          <w:numId w:val="6"/>
        </w:numPr>
        <w:rPr>
          <w:b/>
        </w:rPr>
      </w:pPr>
      <w:r>
        <w:t>Raise maximum penalties under the Act to deter non-compliance.</w:t>
      </w:r>
    </w:p>
    <w:p w14:paraId="38055493" w14:textId="77777777" w:rsidR="0047630D" w:rsidRPr="0047630D" w:rsidRDefault="0047630D" w:rsidP="00177B40">
      <w:pPr>
        <w:pStyle w:val="Numbered"/>
        <w:numPr>
          <w:ilvl w:val="0"/>
          <w:numId w:val="6"/>
        </w:numPr>
        <w:rPr>
          <w:b/>
        </w:rPr>
      </w:pPr>
      <w:r>
        <w:t xml:space="preserve">Factors in determining penalties should include the size of ship, the value of cargo and the rule contravened. </w:t>
      </w:r>
    </w:p>
    <w:p w14:paraId="3F8A65D7" w14:textId="77777777" w:rsidR="00177B40" w:rsidRPr="00B75833" w:rsidRDefault="0047630D" w:rsidP="00177B40">
      <w:pPr>
        <w:pStyle w:val="Numbered"/>
        <w:numPr>
          <w:ilvl w:val="0"/>
          <w:numId w:val="6"/>
        </w:numPr>
        <w:rPr>
          <w:b/>
        </w:rPr>
      </w:pPr>
      <w:r>
        <w:t xml:space="preserve">Types of penalties should include </w:t>
      </w:r>
      <w:r w:rsidR="00177B40">
        <w:t xml:space="preserve">non-monetary penalties, such as </w:t>
      </w:r>
      <w:r>
        <w:t>suspensions of waivers, or remedial education.</w:t>
      </w:r>
    </w:p>
    <w:p w14:paraId="3B71CC29" w14:textId="77777777" w:rsidR="00C46869" w:rsidRDefault="00D54B80" w:rsidP="00177B40">
      <w:pPr>
        <w:pStyle w:val="Numbered"/>
        <w:ind w:hanging="720"/>
      </w:pPr>
      <w:r>
        <w:t>T</w:t>
      </w:r>
      <w:r w:rsidR="00C46869">
        <w:t xml:space="preserve">he maximum allowable fines </w:t>
      </w:r>
      <w:r>
        <w:t xml:space="preserve">under the Act </w:t>
      </w:r>
      <w:r w:rsidR="00B22210">
        <w:t xml:space="preserve">are so low that they </w:t>
      </w:r>
      <w:r w:rsidR="00C46869">
        <w:t xml:space="preserve">provide </w:t>
      </w:r>
      <w:r w:rsidR="00721775">
        <w:t>zero</w:t>
      </w:r>
      <w:r w:rsidR="00C46869">
        <w:t xml:space="preserve"> deterrent value in light of the potential commercial benefit for vessel operators</w:t>
      </w:r>
      <w:r w:rsidR="00B22210">
        <w:t xml:space="preserve"> to violate pilotage requirements</w:t>
      </w:r>
      <w:r w:rsidR="00C46869">
        <w:t xml:space="preserve">. For example, under s. 47, proceeding without a pilot in pilotage waters is liable on conviction to a fine not exceeding $5,000. (Act, s. 47) </w:t>
      </w:r>
      <w:r w:rsidR="0096411F">
        <w:t>Similarly</w:t>
      </w:r>
      <w:r w:rsidR="00C46869">
        <w:t>, any contravention of the Act, a regulation made under the act or by an Authority, carries a maximum fine of $5,000. (Act, s. 48)</w:t>
      </w:r>
    </w:p>
    <w:p w14:paraId="17B21FAE" w14:textId="77777777" w:rsidR="00C46869" w:rsidRDefault="00F57867" w:rsidP="00177B40">
      <w:pPr>
        <w:pStyle w:val="Numbered"/>
        <w:ind w:hanging="720"/>
      </w:pPr>
      <w:r>
        <w:t xml:space="preserve">Low maximum </w:t>
      </w:r>
      <w:r w:rsidR="00C46869">
        <w:t xml:space="preserve">fines </w:t>
      </w:r>
      <w:r w:rsidR="00924E9D">
        <w:t xml:space="preserve">may </w:t>
      </w:r>
      <w:r w:rsidR="00C46869">
        <w:t>also undermine the ability of authorities to prosecute offences</w:t>
      </w:r>
      <w:r w:rsidR="00DD7312">
        <w:t>, as t</w:t>
      </w:r>
      <w:r w:rsidR="00C86097">
        <w:t xml:space="preserve">he cost to authorities to </w:t>
      </w:r>
      <w:r w:rsidR="00DD7312">
        <w:t xml:space="preserve">prosecute </w:t>
      </w:r>
      <w:r w:rsidR="00C86097">
        <w:t>offe</w:t>
      </w:r>
      <w:r w:rsidR="008037DB">
        <w:t xml:space="preserve">nces </w:t>
      </w:r>
      <w:r w:rsidR="00DD7312">
        <w:t xml:space="preserve">will far </w:t>
      </w:r>
      <w:r w:rsidR="008037DB">
        <w:t xml:space="preserve">exceed the penalty. </w:t>
      </w:r>
      <w:r w:rsidR="0096411F">
        <w:t xml:space="preserve">Authorities may be unable to prosecute all but the most egregious violations simply due to a lack of financial ability under the current framework. </w:t>
      </w:r>
    </w:p>
    <w:p w14:paraId="2776276F" w14:textId="77777777" w:rsidR="00417C0E" w:rsidRDefault="00417C0E" w:rsidP="00177B40">
      <w:pPr>
        <w:pStyle w:val="Numbered"/>
        <w:ind w:hanging="720"/>
      </w:pPr>
      <w:r>
        <w:t xml:space="preserve">Government should seriously reconsider fines and compensation limits, under the Act and </w:t>
      </w:r>
      <w:r w:rsidR="00ED379C">
        <w:t>also</w:t>
      </w:r>
      <w:r>
        <w:t xml:space="preserve"> under related regimes, such as the </w:t>
      </w:r>
      <w:r w:rsidRPr="00177B40">
        <w:rPr>
          <w:i/>
        </w:rPr>
        <w:t>Marine Liability Act</w:t>
      </w:r>
      <w:r>
        <w:t>.</w:t>
      </w:r>
      <w:r w:rsidR="00ED379C">
        <w:t xml:space="preserve"> </w:t>
      </w:r>
      <w:r w:rsidR="006C7C50">
        <w:t xml:space="preserve">Marine </w:t>
      </w:r>
      <w:r w:rsidR="006C7C50">
        <w:lastRenderedPageBreak/>
        <w:t>legislation is markedly ineffective in its penalty regimes to achieve specific and general deterrence.</w:t>
      </w:r>
    </w:p>
    <w:p w14:paraId="7AD3A344" w14:textId="77777777" w:rsidR="00295E41" w:rsidRDefault="00295E41" w:rsidP="00177B40">
      <w:pPr>
        <w:pStyle w:val="Numbered"/>
        <w:ind w:hanging="720"/>
      </w:pPr>
      <w:r>
        <w:t xml:space="preserve">In developing a suitable penalty framework, </w:t>
      </w:r>
      <w:r w:rsidR="00102CFF">
        <w:t xml:space="preserve">government should consider </w:t>
      </w:r>
      <w:r w:rsidR="00E85844">
        <w:t xml:space="preserve">the size </w:t>
      </w:r>
      <w:r w:rsidR="006A0B89">
        <w:t>of a</w:t>
      </w:r>
      <w:r w:rsidR="00E85844">
        <w:t xml:space="preserve"> ship </w:t>
      </w:r>
      <w:r w:rsidR="00BA2B4B">
        <w:t>(</w:t>
      </w:r>
      <w:r w:rsidR="00920951">
        <w:t xml:space="preserve">even without cargo, </w:t>
      </w:r>
      <w:r w:rsidR="00BA2B4B">
        <w:t xml:space="preserve">which </w:t>
      </w:r>
      <w:r w:rsidR="00E34013">
        <w:t xml:space="preserve">may </w:t>
      </w:r>
      <w:r w:rsidR="00BA2B4B">
        <w:t xml:space="preserve">reflect the danger presented by its fuel), </w:t>
      </w:r>
      <w:r>
        <w:t xml:space="preserve">the value of </w:t>
      </w:r>
      <w:r w:rsidR="00BA2B4B">
        <w:t>the</w:t>
      </w:r>
      <w:r>
        <w:t xml:space="preserve"> vessel’s cargo</w:t>
      </w:r>
      <w:r w:rsidR="00BA2B4B">
        <w:t>, and the rule being contravened</w:t>
      </w:r>
      <w:r w:rsidR="00920951">
        <w:t xml:space="preserve"> (e.g., travel in a no-go zone)</w:t>
      </w:r>
      <w:r>
        <w:t>. Th</w:t>
      </w:r>
      <w:r w:rsidR="00BA2B4B">
        <w:t>ese factors</w:t>
      </w:r>
      <w:r>
        <w:t xml:space="preserve"> would </w:t>
      </w:r>
      <w:r w:rsidR="00102CFF">
        <w:t>introduce</w:t>
      </w:r>
      <w:r>
        <w:t xml:space="preserve"> an element of proportionality between the penalty and the </w:t>
      </w:r>
      <w:r w:rsidR="00102CFF">
        <w:t>profitability of a voyage that does not comply with requirements</w:t>
      </w:r>
      <w:r w:rsidR="00BA2B4B">
        <w:t>, while also accommodating vessels operating without cargo</w:t>
      </w:r>
      <w:r w:rsidR="00102CFF">
        <w:t>.</w:t>
      </w:r>
      <w:r>
        <w:t xml:space="preserve">  </w:t>
      </w:r>
    </w:p>
    <w:p w14:paraId="242B4EA8" w14:textId="77777777" w:rsidR="0031608B" w:rsidRDefault="00557AD7" w:rsidP="00416C11">
      <w:pPr>
        <w:pStyle w:val="Numbered"/>
        <w:ind w:hanging="720"/>
      </w:pPr>
      <w:r>
        <w:t>A suitable penalty framework would also include non-monetary penalties (such as suspensions of licences and education), to address the public interest in remedial education, and specific deterrence to prevent repeated incidents.</w:t>
      </w:r>
      <w:bookmarkEnd w:id="0"/>
    </w:p>
    <w:p w14:paraId="2C754CB0" w14:textId="77777777" w:rsidR="00557AD7" w:rsidRPr="00557AD7" w:rsidRDefault="00557AD7" w:rsidP="00557AD7">
      <w:pPr>
        <w:pStyle w:val="Heading1"/>
      </w:pPr>
      <w:r w:rsidRPr="00557AD7">
        <w:t>Conclusion</w:t>
      </w:r>
    </w:p>
    <w:p w14:paraId="2B0BC49F" w14:textId="77777777" w:rsidR="00557AD7" w:rsidRDefault="00B46655" w:rsidP="00416C11">
      <w:pPr>
        <w:pStyle w:val="Numbered"/>
        <w:ind w:hanging="720"/>
      </w:pPr>
      <w:r>
        <w:t>While Heiltsuk has engaged in both Indigenous round-tables provided in this review, it has also decided that a submission is necessary to ensure that its voice is recorded. Heiltsuk urges the Chair in this review to consider individual engagement with Indigenous communities on the coastline. This will give the Chair the greatest opportunity to understand direct impacts of transportation accidents on these Indigenous communities, the depth of their local knowledge and stewardship experience, and the fact of their singular presence in the marine territories that the PPA is intended to protect. Heiltsuk welcomes your attendance in Bella Bella to discuss these pilotage matters at any time.</w:t>
      </w:r>
    </w:p>
    <w:p w14:paraId="7D82C294" w14:textId="77777777" w:rsidR="008E26D3" w:rsidRDefault="008E26D3" w:rsidP="008E26D3">
      <w:pPr>
        <w:pStyle w:val="Numbered"/>
        <w:numPr>
          <w:ilvl w:val="0"/>
          <w:numId w:val="0"/>
        </w:numPr>
      </w:pPr>
    </w:p>
    <w:sectPr w:rsidR="008E26D3" w:rsidSect="0031608B">
      <w:head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708FBA" w14:textId="77777777" w:rsidR="00C208DD" w:rsidRDefault="00C208DD" w:rsidP="00416C11">
      <w:r>
        <w:separator/>
      </w:r>
    </w:p>
  </w:endnote>
  <w:endnote w:type="continuationSeparator" w:id="0">
    <w:p w14:paraId="1BFB7BBD" w14:textId="77777777" w:rsidR="00C208DD" w:rsidRDefault="00C208DD" w:rsidP="00416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Whitney-Medium">
    <w:altName w:val="Courier New"/>
    <w:panose1 w:val="020B0604020202020204"/>
    <w:charset w:val="00"/>
    <w:family w:val="auto"/>
    <w:pitch w:val="variable"/>
    <w:sig w:usb0="800000AF" w:usb1="40002048"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C74E81" w14:textId="77777777" w:rsidR="00C208DD" w:rsidRDefault="00C208DD" w:rsidP="00416C11">
      <w:r>
        <w:separator/>
      </w:r>
    </w:p>
  </w:footnote>
  <w:footnote w:type="continuationSeparator" w:id="0">
    <w:p w14:paraId="5DADAB59" w14:textId="77777777" w:rsidR="00C208DD" w:rsidRDefault="00C208DD" w:rsidP="00416C11">
      <w:r>
        <w:continuationSeparator/>
      </w:r>
    </w:p>
  </w:footnote>
  <w:footnote w:id="1">
    <w:p w14:paraId="2B2B9E24" w14:textId="77777777" w:rsidR="00B51B44" w:rsidRPr="001566EF" w:rsidRDefault="00B51B44">
      <w:pPr>
        <w:pStyle w:val="FootnoteText"/>
      </w:pPr>
      <w:r>
        <w:rPr>
          <w:rStyle w:val="FootnoteReference"/>
        </w:rPr>
        <w:footnoteRef/>
      </w:r>
      <w:r>
        <w:t xml:space="preserve"> PPA, </w:t>
      </w:r>
      <w:r>
        <w:rPr>
          <w:i/>
        </w:rPr>
        <w:t>Pacific Pilotage Authority ‘Pilotage Waiver Standard of Care’ Implementation Guidelines</w:t>
      </w:r>
      <w:r>
        <w:t xml:space="preserve">. (Sept. 15, 2017), page 4. </w:t>
      </w:r>
    </w:p>
  </w:footnote>
  <w:footnote w:id="2">
    <w:p w14:paraId="435E9ABA" w14:textId="77777777" w:rsidR="00B51B44" w:rsidRDefault="00B51B44">
      <w:pPr>
        <w:pStyle w:val="FootnoteText"/>
      </w:pPr>
      <w:r>
        <w:rPr>
          <w:rStyle w:val="FootnoteReference"/>
        </w:rPr>
        <w:footnoteRef/>
      </w:r>
      <w:r>
        <w:t xml:space="preserve"> Guide, page 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4C6E6" w14:textId="77777777" w:rsidR="00B51B44" w:rsidRPr="009348F5" w:rsidRDefault="00B51B44" w:rsidP="00416C11">
    <w:pPr>
      <w:pStyle w:val="Header"/>
      <w:jc w:val="right"/>
      <w:rPr>
        <w:lang w:val="en-US"/>
      </w:rPr>
    </w:pPr>
    <w:r>
      <w:rPr>
        <w:lang w:val="en-US"/>
      </w:rPr>
      <w:t>Heiltsuk First Nation:</w:t>
    </w:r>
    <w:r>
      <w:rPr>
        <w:lang w:val="en-US"/>
      </w:rPr>
      <w:br/>
      <w:t xml:space="preserve">Submissions on the </w:t>
    </w:r>
    <w:r w:rsidRPr="00512374">
      <w:rPr>
        <w:i/>
        <w:lang w:val="en-US"/>
      </w:rPr>
      <w:t>Pilotage Act</w:t>
    </w:r>
    <w:r w:rsidRPr="009348F5">
      <w:rPr>
        <w:lang w:val="en-US"/>
      </w:rPr>
      <w:t xml:space="preserve"> </w:t>
    </w:r>
    <w:r w:rsidRPr="009348F5">
      <w:rPr>
        <w:sz w:val="28"/>
        <w:lang w:val="en-US"/>
      </w:rPr>
      <w:t>|</w:t>
    </w:r>
    <w:r w:rsidRPr="009348F5">
      <w:rPr>
        <w:lang w:val="en-US"/>
      </w:rPr>
      <w:t xml:space="preserve"> page </w:t>
    </w:r>
    <w:r w:rsidRPr="009348F5">
      <w:rPr>
        <w:lang w:val="en-US"/>
      </w:rPr>
      <w:fldChar w:fldCharType="begin"/>
    </w:r>
    <w:r w:rsidRPr="009348F5">
      <w:rPr>
        <w:lang w:val="en-US"/>
      </w:rPr>
      <w:instrText xml:space="preserve"> PAGE   \* MERGEFORMAT </w:instrText>
    </w:r>
    <w:r w:rsidRPr="009348F5">
      <w:rPr>
        <w:lang w:val="en-US"/>
      </w:rPr>
      <w:fldChar w:fldCharType="separate"/>
    </w:r>
    <w:r w:rsidR="005D5E89">
      <w:rPr>
        <w:noProof/>
        <w:lang w:val="en-US"/>
      </w:rPr>
      <w:t>11</w:t>
    </w:r>
    <w:r w:rsidRPr="009348F5">
      <w:rPr>
        <w:lang w:val="en-US"/>
      </w:rPr>
      <w:fldChar w:fldCharType="end"/>
    </w:r>
    <w:r w:rsidRPr="009348F5">
      <w:rPr>
        <w:lang w:val="en-US"/>
      </w:rPr>
      <w:t xml:space="preserve"> of </w:t>
    </w:r>
    <w:fldSimple w:instr=" NUMPAGES   \* MERGEFORMAT ">
      <w:r w:rsidR="005D5E89" w:rsidRPr="005D5E89">
        <w:rPr>
          <w:noProof/>
          <w:lang w:val="en-US"/>
        </w:rPr>
        <w:t>11</w:t>
      </w:r>
    </w:fldSimple>
  </w:p>
  <w:p w14:paraId="048F3E80" w14:textId="77777777" w:rsidR="00B51B44" w:rsidRDefault="00B51B44" w:rsidP="00416C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D633D"/>
    <w:multiLevelType w:val="hybridMultilevel"/>
    <w:tmpl w:val="05E2F7E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84A1356"/>
    <w:multiLevelType w:val="hybridMultilevel"/>
    <w:tmpl w:val="DB6EB6C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19102C7B"/>
    <w:multiLevelType w:val="multilevel"/>
    <w:tmpl w:val="446AF460"/>
    <w:lvl w:ilvl="0">
      <w:start w:val="1"/>
      <w:numFmt w:val="decimal"/>
      <w:pStyle w:val="Heading1"/>
      <w:lvlText w:val="%1.0"/>
      <w:lvlJc w:val="left"/>
      <w:pPr>
        <w:ind w:left="720" w:hanging="720"/>
      </w:pPr>
      <w:rPr>
        <w:rFonts w:ascii="Arial" w:hAnsi="Arial" w:hint="default"/>
      </w:rPr>
    </w:lvl>
    <w:lvl w:ilvl="1">
      <w:start w:val="1"/>
      <w:numFmt w:val="decimal"/>
      <w:pStyle w:val="Heading2"/>
      <w:isLgl/>
      <w:lvlText w:val="%1.%2."/>
      <w:lvlJc w:val="left"/>
      <w:pPr>
        <w:ind w:left="720" w:hanging="720"/>
      </w:pPr>
      <w:rPr>
        <w:rFonts w:ascii="Arial" w:hAnsi="Arial" w:hint="default"/>
      </w:rPr>
    </w:lvl>
    <w:lvl w:ilvl="2">
      <w:start w:val="1"/>
      <w:numFmt w:val="decimal"/>
      <w:pStyle w:val="Heading3"/>
      <w:isLgl/>
      <w:lvlText w:val="%1.%2.%3."/>
      <w:lvlJc w:val="left"/>
      <w:pPr>
        <w:ind w:left="1440" w:hanging="720"/>
      </w:pPr>
      <w:rPr>
        <w:rFonts w:ascii="Arial" w:hAnsi="Arial" w:hint="default"/>
      </w:rPr>
    </w:lvl>
    <w:lvl w:ilvl="3">
      <w:start w:val="1"/>
      <w:numFmt w:val="decimal"/>
      <w:pStyle w:val="Heading4"/>
      <w:isLgl/>
      <w:lvlText w:val="%1.%2.%3.%4."/>
      <w:lvlJc w:val="left"/>
      <w:pPr>
        <w:ind w:left="1440" w:hanging="720"/>
      </w:pPr>
      <w:rPr>
        <w:rFonts w:ascii="Arial" w:hAnsi="Arial" w:hint="default"/>
      </w:rPr>
    </w:lvl>
    <w:lvl w:ilvl="4">
      <w:start w:val="1"/>
      <w:numFmt w:val="decimal"/>
      <w:pStyle w:val="Heading5"/>
      <w:isLgl/>
      <w:lvlText w:val="%1.%2.%3.%4.%5."/>
      <w:lvlJc w:val="left"/>
      <w:pPr>
        <w:ind w:left="2160" w:hanging="720"/>
      </w:pPr>
      <w:rPr>
        <w:rFonts w:ascii="Arial" w:hAnsi="Aria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D6C236E"/>
    <w:multiLevelType w:val="hybridMultilevel"/>
    <w:tmpl w:val="B8BEFFE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57F35DE9"/>
    <w:multiLevelType w:val="hybridMultilevel"/>
    <w:tmpl w:val="2D0469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8503324"/>
    <w:multiLevelType w:val="hybridMultilevel"/>
    <w:tmpl w:val="4D9CAB72"/>
    <w:lvl w:ilvl="0" w:tplc="BD88BEB2">
      <w:start w:val="1"/>
      <w:numFmt w:val="decimal"/>
      <w:pStyle w:val="Numbered"/>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618F0096"/>
    <w:multiLevelType w:val="hybridMultilevel"/>
    <w:tmpl w:val="759081D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77596BC7"/>
    <w:multiLevelType w:val="hybridMultilevel"/>
    <w:tmpl w:val="1D48C8B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2"/>
  </w:num>
  <w:num w:numId="2">
    <w:abstractNumId w:val="5"/>
  </w:num>
  <w:num w:numId="3">
    <w:abstractNumId w:val="7"/>
  </w:num>
  <w:num w:numId="4">
    <w:abstractNumId w:val="3"/>
  </w:num>
  <w:num w:numId="5">
    <w:abstractNumId w:val="1"/>
  </w:num>
  <w:num w:numId="6">
    <w:abstractNumId w:val="6"/>
  </w:num>
  <w:num w:numId="7">
    <w:abstractNumId w:val="4"/>
  </w:num>
  <w:num w:numId="8">
    <w:abstractNumId w:val="0"/>
  </w:num>
  <w:num w:numId="9">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38"/>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919"/>
    <w:rsid w:val="000207E9"/>
    <w:rsid w:val="00035CF4"/>
    <w:rsid w:val="00051EFF"/>
    <w:rsid w:val="000545B6"/>
    <w:rsid w:val="00061683"/>
    <w:rsid w:val="00071FA8"/>
    <w:rsid w:val="000738E2"/>
    <w:rsid w:val="00080DF4"/>
    <w:rsid w:val="000B0499"/>
    <w:rsid w:val="000B5F70"/>
    <w:rsid w:val="000B6520"/>
    <w:rsid w:val="000C00E8"/>
    <w:rsid w:val="000C0267"/>
    <w:rsid w:val="000C3A4C"/>
    <w:rsid w:val="000D7580"/>
    <w:rsid w:val="000E4449"/>
    <w:rsid w:val="000E4E47"/>
    <w:rsid w:val="000F54D9"/>
    <w:rsid w:val="00102CFF"/>
    <w:rsid w:val="0010681D"/>
    <w:rsid w:val="00106B0A"/>
    <w:rsid w:val="001220FD"/>
    <w:rsid w:val="00132041"/>
    <w:rsid w:val="00137E88"/>
    <w:rsid w:val="001566EF"/>
    <w:rsid w:val="001729B6"/>
    <w:rsid w:val="00172B5E"/>
    <w:rsid w:val="00177B40"/>
    <w:rsid w:val="00180AA9"/>
    <w:rsid w:val="00181FA0"/>
    <w:rsid w:val="001A6A70"/>
    <w:rsid w:val="001A7B66"/>
    <w:rsid w:val="001C104B"/>
    <w:rsid w:val="001D06AF"/>
    <w:rsid w:val="001D11E4"/>
    <w:rsid w:val="001D3888"/>
    <w:rsid w:val="001E09CF"/>
    <w:rsid w:val="001E22AB"/>
    <w:rsid w:val="001E3C57"/>
    <w:rsid w:val="001E53D7"/>
    <w:rsid w:val="001E5CDD"/>
    <w:rsid w:val="002131DA"/>
    <w:rsid w:val="00221AD7"/>
    <w:rsid w:val="00224061"/>
    <w:rsid w:val="00227461"/>
    <w:rsid w:val="00234E1A"/>
    <w:rsid w:val="00240231"/>
    <w:rsid w:val="002561F3"/>
    <w:rsid w:val="00266161"/>
    <w:rsid w:val="00292970"/>
    <w:rsid w:val="00295E41"/>
    <w:rsid w:val="002A1EC9"/>
    <w:rsid w:val="002B65CA"/>
    <w:rsid w:val="002C4523"/>
    <w:rsid w:val="002D2429"/>
    <w:rsid w:val="002D59E5"/>
    <w:rsid w:val="002E7906"/>
    <w:rsid w:val="0030209E"/>
    <w:rsid w:val="0030529E"/>
    <w:rsid w:val="003063AB"/>
    <w:rsid w:val="003073D1"/>
    <w:rsid w:val="0031608B"/>
    <w:rsid w:val="00320EE2"/>
    <w:rsid w:val="003310DA"/>
    <w:rsid w:val="00332900"/>
    <w:rsid w:val="00344FBF"/>
    <w:rsid w:val="00354EA6"/>
    <w:rsid w:val="00355414"/>
    <w:rsid w:val="003636EA"/>
    <w:rsid w:val="0037032E"/>
    <w:rsid w:val="00381FAF"/>
    <w:rsid w:val="003A3BDE"/>
    <w:rsid w:val="003B3C61"/>
    <w:rsid w:val="003B51A0"/>
    <w:rsid w:val="003B788C"/>
    <w:rsid w:val="003C3276"/>
    <w:rsid w:val="003D0C4A"/>
    <w:rsid w:val="003D185A"/>
    <w:rsid w:val="003D6EB1"/>
    <w:rsid w:val="003E4E79"/>
    <w:rsid w:val="003E713C"/>
    <w:rsid w:val="003F133D"/>
    <w:rsid w:val="003F7C8E"/>
    <w:rsid w:val="00403C94"/>
    <w:rsid w:val="00411B6C"/>
    <w:rsid w:val="00416C11"/>
    <w:rsid w:val="00417C0E"/>
    <w:rsid w:val="00422E26"/>
    <w:rsid w:val="00435C29"/>
    <w:rsid w:val="0044390E"/>
    <w:rsid w:val="004507FF"/>
    <w:rsid w:val="00450C41"/>
    <w:rsid w:val="00451895"/>
    <w:rsid w:val="0045361B"/>
    <w:rsid w:val="00461F7C"/>
    <w:rsid w:val="0047630D"/>
    <w:rsid w:val="004A3968"/>
    <w:rsid w:val="004A4E9B"/>
    <w:rsid w:val="004A7957"/>
    <w:rsid w:val="004B692F"/>
    <w:rsid w:val="004D552B"/>
    <w:rsid w:val="004D6F93"/>
    <w:rsid w:val="004E3468"/>
    <w:rsid w:val="004E38F9"/>
    <w:rsid w:val="004E4ED0"/>
    <w:rsid w:val="005014D8"/>
    <w:rsid w:val="00512374"/>
    <w:rsid w:val="005243D1"/>
    <w:rsid w:val="00526723"/>
    <w:rsid w:val="00530496"/>
    <w:rsid w:val="00537C54"/>
    <w:rsid w:val="00557AD7"/>
    <w:rsid w:val="00561827"/>
    <w:rsid w:val="00566F50"/>
    <w:rsid w:val="00581ED1"/>
    <w:rsid w:val="00584595"/>
    <w:rsid w:val="005A57D6"/>
    <w:rsid w:val="005A7485"/>
    <w:rsid w:val="005B6919"/>
    <w:rsid w:val="005D5A63"/>
    <w:rsid w:val="005D5E89"/>
    <w:rsid w:val="005E01D3"/>
    <w:rsid w:val="005E0A71"/>
    <w:rsid w:val="005E5BA3"/>
    <w:rsid w:val="00613AC0"/>
    <w:rsid w:val="0061437C"/>
    <w:rsid w:val="006216EE"/>
    <w:rsid w:val="006254DB"/>
    <w:rsid w:val="00646A87"/>
    <w:rsid w:val="0066379C"/>
    <w:rsid w:val="00684116"/>
    <w:rsid w:val="006A0B89"/>
    <w:rsid w:val="006B0543"/>
    <w:rsid w:val="006B13F6"/>
    <w:rsid w:val="006B2B10"/>
    <w:rsid w:val="006C0281"/>
    <w:rsid w:val="006C7C50"/>
    <w:rsid w:val="006E2EE3"/>
    <w:rsid w:val="00701F94"/>
    <w:rsid w:val="00713D53"/>
    <w:rsid w:val="00721775"/>
    <w:rsid w:val="0073204D"/>
    <w:rsid w:val="00743FCE"/>
    <w:rsid w:val="0076095D"/>
    <w:rsid w:val="0076575F"/>
    <w:rsid w:val="00765A29"/>
    <w:rsid w:val="00767C70"/>
    <w:rsid w:val="00775A66"/>
    <w:rsid w:val="00777222"/>
    <w:rsid w:val="00785CD7"/>
    <w:rsid w:val="007A727D"/>
    <w:rsid w:val="007C1550"/>
    <w:rsid w:val="007D2A4E"/>
    <w:rsid w:val="007D7014"/>
    <w:rsid w:val="007E25FB"/>
    <w:rsid w:val="008037DB"/>
    <w:rsid w:val="00814932"/>
    <w:rsid w:val="00830DF3"/>
    <w:rsid w:val="00831DA7"/>
    <w:rsid w:val="00844F97"/>
    <w:rsid w:val="00846BD8"/>
    <w:rsid w:val="00847952"/>
    <w:rsid w:val="008504BD"/>
    <w:rsid w:val="0085749D"/>
    <w:rsid w:val="00861418"/>
    <w:rsid w:val="00864517"/>
    <w:rsid w:val="00870550"/>
    <w:rsid w:val="008718E4"/>
    <w:rsid w:val="00871947"/>
    <w:rsid w:val="008730E2"/>
    <w:rsid w:val="00874770"/>
    <w:rsid w:val="008754F4"/>
    <w:rsid w:val="008875AE"/>
    <w:rsid w:val="00897EDC"/>
    <w:rsid w:val="008A14A8"/>
    <w:rsid w:val="008C28C2"/>
    <w:rsid w:val="008D3A78"/>
    <w:rsid w:val="008E06A1"/>
    <w:rsid w:val="008E26D3"/>
    <w:rsid w:val="008E6007"/>
    <w:rsid w:val="008F3C20"/>
    <w:rsid w:val="008F47FC"/>
    <w:rsid w:val="00904D27"/>
    <w:rsid w:val="009061C1"/>
    <w:rsid w:val="009153D8"/>
    <w:rsid w:val="00920951"/>
    <w:rsid w:val="00924E9D"/>
    <w:rsid w:val="00936637"/>
    <w:rsid w:val="00950610"/>
    <w:rsid w:val="00956DA1"/>
    <w:rsid w:val="0096411F"/>
    <w:rsid w:val="00967CC8"/>
    <w:rsid w:val="00973018"/>
    <w:rsid w:val="0098281C"/>
    <w:rsid w:val="00986BEF"/>
    <w:rsid w:val="009911CF"/>
    <w:rsid w:val="009927CD"/>
    <w:rsid w:val="00992EED"/>
    <w:rsid w:val="009A09AD"/>
    <w:rsid w:val="009C01E7"/>
    <w:rsid w:val="009C1938"/>
    <w:rsid w:val="009C240D"/>
    <w:rsid w:val="009E2396"/>
    <w:rsid w:val="009E365C"/>
    <w:rsid w:val="009E7BA5"/>
    <w:rsid w:val="00A158FB"/>
    <w:rsid w:val="00A2004C"/>
    <w:rsid w:val="00A34138"/>
    <w:rsid w:val="00A46491"/>
    <w:rsid w:val="00A47597"/>
    <w:rsid w:val="00A505CF"/>
    <w:rsid w:val="00A52069"/>
    <w:rsid w:val="00A55BEB"/>
    <w:rsid w:val="00A6281E"/>
    <w:rsid w:val="00A67476"/>
    <w:rsid w:val="00A76440"/>
    <w:rsid w:val="00A80462"/>
    <w:rsid w:val="00A92441"/>
    <w:rsid w:val="00A95933"/>
    <w:rsid w:val="00AA1D9A"/>
    <w:rsid w:val="00AC3FB9"/>
    <w:rsid w:val="00AC77E1"/>
    <w:rsid w:val="00AD4695"/>
    <w:rsid w:val="00AE42D3"/>
    <w:rsid w:val="00B22210"/>
    <w:rsid w:val="00B26CA6"/>
    <w:rsid w:val="00B30DF7"/>
    <w:rsid w:val="00B36283"/>
    <w:rsid w:val="00B41A9C"/>
    <w:rsid w:val="00B46655"/>
    <w:rsid w:val="00B50103"/>
    <w:rsid w:val="00B51B44"/>
    <w:rsid w:val="00B56DEC"/>
    <w:rsid w:val="00B62585"/>
    <w:rsid w:val="00B751AE"/>
    <w:rsid w:val="00B75833"/>
    <w:rsid w:val="00B81973"/>
    <w:rsid w:val="00B94F38"/>
    <w:rsid w:val="00BA1349"/>
    <w:rsid w:val="00BA2B4B"/>
    <w:rsid w:val="00BA2C8F"/>
    <w:rsid w:val="00BB2017"/>
    <w:rsid w:val="00BB572E"/>
    <w:rsid w:val="00BB7CF1"/>
    <w:rsid w:val="00BC010A"/>
    <w:rsid w:val="00BD62DC"/>
    <w:rsid w:val="00BE229B"/>
    <w:rsid w:val="00BE2795"/>
    <w:rsid w:val="00BF2727"/>
    <w:rsid w:val="00C01772"/>
    <w:rsid w:val="00C208DD"/>
    <w:rsid w:val="00C36295"/>
    <w:rsid w:val="00C46869"/>
    <w:rsid w:val="00C50674"/>
    <w:rsid w:val="00C55C10"/>
    <w:rsid w:val="00C64BC3"/>
    <w:rsid w:val="00C654C4"/>
    <w:rsid w:val="00C70A4C"/>
    <w:rsid w:val="00C74B0B"/>
    <w:rsid w:val="00C776D5"/>
    <w:rsid w:val="00C86097"/>
    <w:rsid w:val="00CA0667"/>
    <w:rsid w:val="00CA1EAB"/>
    <w:rsid w:val="00CB2B18"/>
    <w:rsid w:val="00CB335B"/>
    <w:rsid w:val="00CC3431"/>
    <w:rsid w:val="00CC7749"/>
    <w:rsid w:val="00CC77AB"/>
    <w:rsid w:val="00CD0329"/>
    <w:rsid w:val="00CD249D"/>
    <w:rsid w:val="00CD6923"/>
    <w:rsid w:val="00CE384E"/>
    <w:rsid w:val="00CF2369"/>
    <w:rsid w:val="00D11F25"/>
    <w:rsid w:val="00D12D83"/>
    <w:rsid w:val="00D140F1"/>
    <w:rsid w:val="00D16B1A"/>
    <w:rsid w:val="00D21405"/>
    <w:rsid w:val="00D30A47"/>
    <w:rsid w:val="00D30F25"/>
    <w:rsid w:val="00D339BA"/>
    <w:rsid w:val="00D36D2B"/>
    <w:rsid w:val="00D401DF"/>
    <w:rsid w:val="00D4684B"/>
    <w:rsid w:val="00D54B80"/>
    <w:rsid w:val="00D615A4"/>
    <w:rsid w:val="00D66B6E"/>
    <w:rsid w:val="00D9610D"/>
    <w:rsid w:val="00DA0D3B"/>
    <w:rsid w:val="00DA51CB"/>
    <w:rsid w:val="00DC0859"/>
    <w:rsid w:val="00DD7312"/>
    <w:rsid w:val="00DE287B"/>
    <w:rsid w:val="00DE4436"/>
    <w:rsid w:val="00DE4F2C"/>
    <w:rsid w:val="00DF619C"/>
    <w:rsid w:val="00E03181"/>
    <w:rsid w:val="00E10FBE"/>
    <w:rsid w:val="00E1131B"/>
    <w:rsid w:val="00E12379"/>
    <w:rsid w:val="00E17AFF"/>
    <w:rsid w:val="00E2027D"/>
    <w:rsid w:val="00E34013"/>
    <w:rsid w:val="00E56249"/>
    <w:rsid w:val="00E65E76"/>
    <w:rsid w:val="00E72828"/>
    <w:rsid w:val="00E77B31"/>
    <w:rsid w:val="00E85844"/>
    <w:rsid w:val="00E90037"/>
    <w:rsid w:val="00E90796"/>
    <w:rsid w:val="00E96E39"/>
    <w:rsid w:val="00EB21EB"/>
    <w:rsid w:val="00EB6409"/>
    <w:rsid w:val="00EC485D"/>
    <w:rsid w:val="00EC6352"/>
    <w:rsid w:val="00ED1EA9"/>
    <w:rsid w:val="00ED379C"/>
    <w:rsid w:val="00ED3810"/>
    <w:rsid w:val="00EE499C"/>
    <w:rsid w:val="00EF03D6"/>
    <w:rsid w:val="00EF03DE"/>
    <w:rsid w:val="00EF05C4"/>
    <w:rsid w:val="00EF2C06"/>
    <w:rsid w:val="00EF3DA4"/>
    <w:rsid w:val="00EF4DE1"/>
    <w:rsid w:val="00F04FA3"/>
    <w:rsid w:val="00F051E9"/>
    <w:rsid w:val="00F054D2"/>
    <w:rsid w:val="00F06D52"/>
    <w:rsid w:val="00F20C9E"/>
    <w:rsid w:val="00F21CEB"/>
    <w:rsid w:val="00F2208F"/>
    <w:rsid w:val="00F30D03"/>
    <w:rsid w:val="00F310FF"/>
    <w:rsid w:val="00F444CB"/>
    <w:rsid w:val="00F50E8C"/>
    <w:rsid w:val="00F54B2B"/>
    <w:rsid w:val="00F55001"/>
    <w:rsid w:val="00F55F64"/>
    <w:rsid w:val="00F57867"/>
    <w:rsid w:val="00F75233"/>
    <w:rsid w:val="00F75A31"/>
    <w:rsid w:val="00FA1FE0"/>
    <w:rsid w:val="00FA4ACF"/>
    <w:rsid w:val="00FA76C8"/>
    <w:rsid w:val="00FB0B95"/>
    <w:rsid w:val="00FB3981"/>
    <w:rsid w:val="00FB7A65"/>
    <w:rsid w:val="00FC029D"/>
    <w:rsid w:val="00FC0C8D"/>
    <w:rsid w:val="00FC1F35"/>
    <w:rsid w:val="00FC5423"/>
    <w:rsid w:val="00FD0340"/>
    <w:rsid w:val="00FD28D5"/>
    <w:rsid w:val="00FD2BD0"/>
    <w:rsid w:val="00FF2E52"/>
    <w:rsid w:val="00FF641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04709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16C11"/>
    <w:pPr>
      <w:spacing w:before="120" w:after="120"/>
    </w:pPr>
    <w:rPr>
      <w:rFonts w:ascii="Times New Roman" w:eastAsia="Times New Roman" w:hAnsi="Times New Roman" w:cs="Times New Roman"/>
      <w:kern w:val="2"/>
      <w:szCs w:val="20"/>
      <w14:ligatures w14:val="standard"/>
      <w14:numSpacing w14:val="proportional"/>
    </w:rPr>
  </w:style>
  <w:style w:type="paragraph" w:styleId="Heading1">
    <w:name w:val="heading 1"/>
    <w:basedOn w:val="Normal"/>
    <w:next w:val="Normal"/>
    <w:link w:val="Heading1Char"/>
    <w:qFormat/>
    <w:rsid w:val="00416C11"/>
    <w:pPr>
      <w:keepNext/>
      <w:numPr>
        <w:numId w:val="1"/>
      </w:numPr>
      <w:outlineLvl w:val="0"/>
    </w:pPr>
    <w:rPr>
      <w:rFonts w:ascii="Arial" w:hAnsi="Arial" w:cs="Arial"/>
      <w:b/>
      <w:kern w:val="28"/>
      <w:szCs w:val="24"/>
    </w:rPr>
  </w:style>
  <w:style w:type="paragraph" w:styleId="Heading2">
    <w:name w:val="heading 2"/>
    <w:basedOn w:val="Normal"/>
    <w:next w:val="Normal"/>
    <w:link w:val="Heading2Char"/>
    <w:autoRedefine/>
    <w:qFormat/>
    <w:rsid w:val="00416C11"/>
    <w:pPr>
      <w:keepNext/>
      <w:numPr>
        <w:ilvl w:val="1"/>
        <w:numId w:val="1"/>
      </w:numPr>
      <w:outlineLvl w:val="1"/>
    </w:pPr>
    <w:rPr>
      <w:rFonts w:ascii="Arial" w:hAnsi="Arial" w:cs="Arial"/>
      <w:b/>
      <w:sz w:val="22"/>
      <w:szCs w:val="22"/>
    </w:rPr>
  </w:style>
  <w:style w:type="paragraph" w:styleId="Heading3">
    <w:name w:val="heading 3"/>
    <w:basedOn w:val="Heading2"/>
    <w:next w:val="Normal"/>
    <w:link w:val="Heading3Char"/>
    <w:autoRedefine/>
    <w:qFormat/>
    <w:rsid w:val="00C776D5"/>
    <w:pPr>
      <w:numPr>
        <w:ilvl w:val="2"/>
      </w:numPr>
      <w:outlineLvl w:val="2"/>
    </w:pPr>
  </w:style>
  <w:style w:type="paragraph" w:styleId="Heading4">
    <w:name w:val="heading 4"/>
    <w:basedOn w:val="Normal"/>
    <w:next w:val="Normal"/>
    <w:link w:val="Heading4Char"/>
    <w:qFormat/>
    <w:rsid w:val="00DA51CB"/>
    <w:pPr>
      <w:keepNext/>
      <w:numPr>
        <w:ilvl w:val="3"/>
        <w:numId w:val="1"/>
      </w:numPr>
      <w:outlineLvl w:val="3"/>
    </w:pPr>
    <w:rPr>
      <w:rFonts w:ascii="Whitney-Medium" w:hAnsi="Whitney-Medium"/>
      <w:b/>
      <w:i/>
      <w:sz w:val="22"/>
      <w:szCs w:val="22"/>
    </w:rPr>
  </w:style>
  <w:style w:type="paragraph" w:styleId="Heading5">
    <w:name w:val="heading 5"/>
    <w:basedOn w:val="Normal"/>
    <w:next w:val="Normal"/>
    <w:link w:val="Heading5Char"/>
    <w:autoRedefine/>
    <w:qFormat/>
    <w:rsid w:val="00DA51CB"/>
    <w:pPr>
      <w:keepNext/>
      <w:numPr>
        <w:ilvl w:val="4"/>
        <w:numId w:val="1"/>
      </w:numPr>
      <w:spacing w:before="100" w:beforeAutospacing="1"/>
      <w:outlineLvl w:val="4"/>
    </w:pPr>
    <w:rPr>
      <w:b/>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6C11"/>
    <w:rPr>
      <w:rFonts w:ascii="Arial" w:eastAsia="Times New Roman" w:hAnsi="Arial" w:cs="Arial"/>
      <w:b/>
      <w:kern w:val="28"/>
      <w14:ligatures w14:val="standard"/>
      <w14:numSpacing w14:val="proportional"/>
    </w:rPr>
  </w:style>
  <w:style w:type="character" w:customStyle="1" w:styleId="Heading2Char">
    <w:name w:val="Heading 2 Char"/>
    <w:basedOn w:val="DefaultParagraphFont"/>
    <w:link w:val="Heading2"/>
    <w:rsid w:val="00416C11"/>
    <w:rPr>
      <w:rFonts w:ascii="Arial" w:eastAsia="Times New Roman" w:hAnsi="Arial" w:cs="Arial"/>
      <w:b/>
      <w:kern w:val="2"/>
      <w:sz w:val="22"/>
      <w:szCs w:val="22"/>
      <w14:ligatures w14:val="standard"/>
      <w14:numSpacing w14:val="proportional"/>
    </w:rPr>
  </w:style>
  <w:style w:type="character" w:customStyle="1" w:styleId="Heading3Char">
    <w:name w:val="Heading 3 Char"/>
    <w:basedOn w:val="DefaultParagraphFont"/>
    <w:link w:val="Heading3"/>
    <w:rsid w:val="00C776D5"/>
    <w:rPr>
      <w:rFonts w:ascii="Arial" w:eastAsia="Times New Roman" w:hAnsi="Arial" w:cs="Arial"/>
      <w:b/>
      <w:kern w:val="2"/>
      <w:sz w:val="22"/>
      <w:szCs w:val="22"/>
      <w14:ligatures w14:val="standard"/>
      <w14:numSpacing w14:val="proportional"/>
    </w:rPr>
  </w:style>
  <w:style w:type="character" w:customStyle="1" w:styleId="Heading4Char">
    <w:name w:val="Heading 4 Char"/>
    <w:basedOn w:val="DefaultParagraphFont"/>
    <w:link w:val="Heading4"/>
    <w:rsid w:val="00DA51CB"/>
    <w:rPr>
      <w:rFonts w:ascii="Whitney-Medium" w:eastAsia="Times New Roman" w:hAnsi="Whitney-Medium" w:cs="Times New Roman"/>
      <w:b/>
      <w:i/>
      <w:kern w:val="2"/>
      <w:sz w:val="22"/>
      <w:szCs w:val="22"/>
      <w14:ligatures w14:val="standard"/>
      <w14:numSpacing w14:val="proportional"/>
    </w:rPr>
  </w:style>
  <w:style w:type="character" w:customStyle="1" w:styleId="Heading5Char">
    <w:name w:val="Heading 5 Char"/>
    <w:basedOn w:val="DefaultParagraphFont"/>
    <w:link w:val="Heading5"/>
    <w:rsid w:val="00DA51CB"/>
    <w:rPr>
      <w:rFonts w:ascii="Times New Roman" w:eastAsia="Times New Roman" w:hAnsi="Times New Roman" w:cs="Times New Roman"/>
      <w:b/>
      <w:i/>
      <w:kern w:val="2"/>
      <w:sz w:val="22"/>
      <w:szCs w:val="22"/>
      <w14:ligatures w14:val="standard"/>
      <w14:numSpacing w14:val="proportional"/>
    </w:rPr>
  </w:style>
  <w:style w:type="paragraph" w:styleId="TOC1">
    <w:name w:val="toc 1"/>
    <w:basedOn w:val="Normal"/>
    <w:next w:val="Normal"/>
    <w:autoRedefine/>
    <w:uiPriority w:val="39"/>
    <w:rsid w:val="00DA51CB"/>
    <w:pPr>
      <w:spacing w:after="0"/>
    </w:pPr>
    <w:rPr>
      <w:rFonts w:asciiTheme="minorHAnsi" w:hAnsiTheme="minorHAnsi"/>
      <w:b/>
      <w:bCs/>
      <w:caps/>
      <w:sz w:val="22"/>
      <w:szCs w:val="22"/>
    </w:rPr>
  </w:style>
  <w:style w:type="paragraph" w:styleId="TOC2">
    <w:name w:val="toc 2"/>
    <w:basedOn w:val="Normal"/>
    <w:next w:val="Normal"/>
    <w:autoRedefine/>
    <w:uiPriority w:val="39"/>
    <w:rsid w:val="00DA51CB"/>
    <w:pPr>
      <w:spacing w:before="0" w:after="0"/>
      <w:ind w:left="240"/>
    </w:pPr>
    <w:rPr>
      <w:rFonts w:asciiTheme="minorHAnsi" w:hAnsiTheme="minorHAnsi"/>
      <w:smallCaps/>
      <w:sz w:val="22"/>
      <w:szCs w:val="22"/>
    </w:rPr>
  </w:style>
  <w:style w:type="paragraph" w:styleId="BodyText">
    <w:name w:val="Body Text"/>
    <w:basedOn w:val="Normal"/>
    <w:link w:val="BodyTextChar"/>
    <w:rsid w:val="00DA51CB"/>
    <w:pPr>
      <w:jc w:val="both"/>
    </w:pPr>
  </w:style>
  <w:style w:type="character" w:customStyle="1" w:styleId="BodyTextChar">
    <w:name w:val="Body Text Char"/>
    <w:basedOn w:val="DefaultParagraphFont"/>
    <w:link w:val="BodyText"/>
    <w:rsid w:val="00DA51CB"/>
    <w:rPr>
      <w:rFonts w:ascii="Times New Roman" w:eastAsia="Times New Roman" w:hAnsi="Times New Roman" w:cs="Times New Roman"/>
      <w:szCs w:val="20"/>
    </w:rPr>
  </w:style>
  <w:style w:type="character" w:styleId="Hyperlink">
    <w:name w:val="Hyperlink"/>
    <w:basedOn w:val="DefaultParagraphFont"/>
    <w:uiPriority w:val="99"/>
    <w:rsid w:val="00DA51CB"/>
    <w:rPr>
      <w:color w:val="0000FF"/>
      <w:u w:val="single"/>
    </w:rPr>
  </w:style>
  <w:style w:type="paragraph" w:styleId="Header">
    <w:name w:val="header"/>
    <w:basedOn w:val="Normal"/>
    <w:link w:val="HeaderChar"/>
    <w:uiPriority w:val="99"/>
    <w:unhideWhenUsed/>
    <w:rsid w:val="00DA51CB"/>
    <w:pPr>
      <w:tabs>
        <w:tab w:val="center" w:pos="4320"/>
        <w:tab w:val="right" w:pos="8640"/>
      </w:tabs>
      <w:spacing w:after="0"/>
    </w:pPr>
  </w:style>
  <w:style w:type="character" w:customStyle="1" w:styleId="HeaderChar">
    <w:name w:val="Header Char"/>
    <w:basedOn w:val="DefaultParagraphFont"/>
    <w:link w:val="Header"/>
    <w:uiPriority w:val="99"/>
    <w:rsid w:val="00DA51CB"/>
    <w:rPr>
      <w:rFonts w:ascii="Times New Roman" w:eastAsia="Times New Roman" w:hAnsi="Times New Roman" w:cs="Times New Roman"/>
      <w:szCs w:val="20"/>
    </w:rPr>
  </w:style>
  <w:style w:type="paragraph" w:styleId="Footer">
    <w:name w:val="footer"/>
    <w:basedOn w:val="Normal"/>
    <w:link w:val="FooterChar"/>
    <w:uiPriority w:val="99"/>
    <w:unhideWhenUsed/>
    <w:rsid w:val="00DA51CB"/>
    <w:pPr>
      <w:tabs>
        <w:tab w:val="center" w:pos="4320"/>
        <w:tab w:val="right" w:pos="8640"/>
      </w:tabs>
      <w:spacing w:after="0"/>
    </w:pPr>
  </w:style>
  <w:style w:type="character" w:customStyle="1" w:styleId="FooterChar">
    <w:name w:val="Footer Char"/>
    <w:basedOn w:val="DefaultParagraphFont"/>
    <w:link w:val="Footer"/>
    <w:uiPriority w:val="99"/>
    <w:rsid w:val="00DA51CB"/>
    <w:rPr>
      <w:rFonts w:ascii="Times New Roman" w:eastAsia="Times New Roman" w:hAnsi="Times New Roman" w:cs="Times New Roman"/>
      <w:szCs w:val="20"/>
    </w:rPr>
  </w:style>
  <w:style w:type="paragraph" w:styleId="TOC3">
    <w:name w:val="toc 3"/>
    <w:basedOn w:val="Normal"/>
    <w:next w:val="Normal"/>
    <w:autoRedefine/>
    <w:uiPriority w:val="39"/>
    <w:unhideWhenUsed/>
    <w:rsid w:val="00416C11"/>
    <w:pPr>
      <w:spacing w:before="0" w:after="0"/>
      <w:ind w:left="480"/>
    </w:pPr>
    <w:rPr>
      <w:rFonts w:asciiTheme="minorHAnsi" w:hAnsiTheme="minorHAnsi"/>
      <w:i/>
      <w:iCs/>
      <w:sz w:val="22"/>
      <w:szCs w:val="22"/>
    </w:rPr>
  </w:style>
  <w:style w:type="paragraph" w:customStyle="1" w:styleId="Numbered">
    <w:name w:val="Numbered"/>
    <w:basedOn w:val="Normal"/>
    <w:qFormat/>
    <w:rsid w:val="00416C11"/>
    <w:pPr>
      <w:numPr>
        <w:numId w:val="2"/>
      </w:numPr>
    </w:pPr>
  </w:style>
  <w:style w:type="paragraph" w:styleId="TOC4">
    <w:name w:val="toc 4"/>
    <w:basedOn w:val="Normal"/>
    <w:next w:val="Normal"/>
    <w:autoRedefine/>
    <w:uiPriority w:val="39"/>
    <w:unhideWhenUsed/>
    <w:rsid w:val="00416C11"/>
    <w:pPr>
      <w:spacing w:before="0" w:after="0"/>
      <w:ind w:left="720"/>
    </w:pPr>
    <w:rPr>
      <w:rFonts w:asciiTheme="minorHAnsi" w:hAnsiTheme="minorHAnsi"/>
      <w:sz w:val="18"/>
      <w:szCs w:val="18"/>
    </w:rPr>
  </w:style>
  <w:style w:type="paragraph" w:styleId="TOC5">
    <w:name w:val="toc 5"/>
    <w:basedOn w:val="Normal"/>
    <w:next w:val="Normal"/>
    <w:autoRedefine/>
    <w:uiPriority w:val="39"/>
    <w:unhideWhenUsed/>
    <w:rsid w:val="00416C11"/>
    <w:pPr>
      <w:spacing w:before="0" w:after="0"/>
      <w:ind w:left="960"/>
    </w:pPr>
    <w:rPr>
      <w:rFonts w:asciiTheme="minorHAnsi" w:hAnsiTheme="minorHAnsi"/>
      <w:sz w:val="18"/>
      <w:szCs w:val="18"/>
    </w:rPr>
  </w:style>
  <w:style w:type="paragraph" w:styleId="TOC6">
    <w:name w:val="toc 6"/>
    <w:basedOn w:val="Normal"/>
    <w:next w:val="Normal"/>
    <w:autoRedefine/>
    <w:uiPriority w:val="39"/>
    <w:unhideWhenUsed/>
    <w:rsid w:val="00416C11"/>
    <w:pPr>
      <w:spacing w:before="0" w:after="0"/>
      <w:ind w:left="1200"/>
    </w:pPr>
    <w:rPr>
      <w:rFonts w:asciiTheme="minorHAnsi" w:hAnsiTheme="minorHAnsi"/>
      <w:sz w:val="18"/>
      <w:szCs w:val="18"/>
    </w:rPr>
  </w:style>
  <w:style w:type="paragraph" w:styleId="TOC7">
    <w:name w:val="toc 7"/>
    <w:basedOn w:val="Normal"/>
    <w:next w:val="Normal"/>
    <w:autoRedefine/>
    <w:uiPriority w:val="39"/>
    <w:unhideWhenUsed/>
    <w:rsid w:val="00416C11"/>
    <w:pPr>
      <w:spacing w:before="0" w:after="0"/>
      <w:ind w:left="1440"/>
    </w:pPr>
    <w:rPr>
      <w:rFonts w:asciiTheme="minorHAnsi" w:hAnsiTheme="minorHAnsi"/>
      <w:sz w:val="18"/>
      <w:szCs w:val="18"/>
    </w:rPr>
  </w:style>
  <w:style w:type="paragraph" w:styleId="TOC8">
    <w:name w:val="toc 8"/>
    <w:basedOn w:val="Normal"/>
    <w:next w:val="Normal"/>
    <w:autoRedefine/>
    <w:uiPriority w:val="39"/>
    <w:unhideWhenUsed/>
    <w:rsid w:val="00416C11"/>
    <w:pPr>
      <w:spacing w:before="0" w:after="0"/>
      <w:ind w:left="1680"/>
    </w:pPr>
    <w:rPr>
      <w:rFonts w:asciiTheme="minorHAnsi" w:hAnsiTheme="minorHAnsi"/>
      <w:sz w:val="18"/>
      <w:szCs w:val="18"/>
    </w:rPr>
  </w:style>
  <w:style w:type="paragraph" w:styleId="TOC9">
    <w:name w:val="toc 9"/>
    <w:basedOn w:val="Normal"/>
    <w:next w:val="Normal"/>
    <w:autoRedefine/>
    <w:uiPriority w:val="39"/>
    <w:unhideWhenUsed/>
    <w:rsid w:val="00416C11"/>
    <w:pPr>
      <w:spacing w:before="0" w:after="0"/>
      <w:ind w:left="1920"/>
    </w:pPr>
    <w:rPr>
      <w:rFonts w:asciiTheme="minorHAnsi" w:hAnsiTheme="minorHAnsi"/>
      <w:sz w:val="18"/>
      <w:szCs w:val="18"/>
    </w:rPr>
  </w:style>
  <w:style w:type="paragraph" w:styleId="FootnoteText">
    <w:name w:val="footnote text"/>
    <w:basedOn w:val="Normal"/>
    <w:link w:val="FootnoteTextChar"/>
    <w:uiPriority w:val="99"/>
    <w:semiHidden/>
    <w:unhideWhenUsed/>
    <w:rsid w:val="001566EF"/>
    <w:pPr>
      <w:spacing w:before="0" w:after="0"/>
    </w:pPr>
    <w:rPr>
      <w:sz w:val="20"/>
    </w:rPr>
  </w:style>
  <w:style w:type="character" w:customStyle="1" w:styleId="FootnoteTextChar">
    <w:name w:val="Footnote Text Char"/>
    <w:basedOn w:val="DefaultParagraphFont"/>
    <w:link w:val="FootnoteText"/>
    <w:uiPriority w:val="99"/>
    <w:semiHidden/>
    <w:rsid w:val="001566EF"/>
    <w:rPr>
      <w:rFonts w:ascii="Times New Roman" w:eastAsia="Times New Roman" w:hAnsi="Times New Roman" w:cs="Times New Roman"/>
      <w:kern w:val="2"/>
      <w:sz w:val="20"/>
      <w:szCs w:val="20"/>
      <w14:ligatures w14:val="standard"/>
      <w14:numSpacing w14:val="proportional"/>
    </w:rPr>
  </w:style>
  <w:style w:type="character" w:styleId="FootnoteReference">
    <w:name w:val="footnote reference"/>
    <w:basedOn w:val="DefaultParagraphFont"/>
    <w:uiPriority w:val="99"/>
    <w:semiHidden/>
    <w:unhideWhenUsed/>
    <w:rsid w:val="001566EF"/>
    <w:rPr>
      <w:vertAlign w:val="superscript"/>
    </w:rPr>
  </w:style>
  <w:style w:type="character" w:customStyle="1" w:styleId="s3">
    <w:name w:val="s3"/>
    <w:basedOn w:val="DefaultParagraphFont"/>
    <w:rsid w:val="00D66B6E"/>
  </w:style>
  <w:style w:type="character" w:customStyle="1" w:styleId="apple-converted-space">
    <w:name w:val="apple-converted-space"/>
    <w:basedOn w:val="DefaultParagraphFont"/>
    <w:rsid w:val="00D66B6E"/>
  </w:style>
  <w:style w:type="paragraph" w:styleId="BalloonText">
    <w:name w:val="Balloon Text"/>
    <w:basedOn w:val="Normal"/>
    <w:link w:val="BalloonTextChar"/>
    <w:uiPriority w:val="99"/>
    <w:semiHidden/>
    <w:unhideWhenUsed/>
    <w:rsid w:val="003D185A"/>
    <w:pPr>
      <w:spacing w:before="0" w:after="0"/>
    </w:pPr>
    <w:rPr>
      <w:rFonts w:ascii="Arial" w:hAnsi="Arial" w:cs="Arial"/>
      <w:sz w:val="18"/>
      <w:szCs w:val="18"/>
    </w:rPr>
  </w:style>
  <w:style w:type="character" w:customStyle="1" w:styleId="BalloonTextChar">
    <w:name w:val="Balloon Text Char"/>
    <w:basedOn w:val="DefaultParagraphFont"/>
    <w:link w:val="BalloonText"/>
    <w:uiPriority w:val="99"/>
    <w:semiHidden/>
    <w:rsid w:val="003D185A"/>
    <w:rPr>
      <w:rFonts w:ascii="Arial" w:eastAsia="Times New Roman" w:hAnsi="Arial" w:cs="Arial"/>
      <w:kern w:val="2"/>
      <w:sz w:val="18"/>
      <w:szCs w:val="18"/>
      <w14:ligatures w14:val="standard"/>
      <w14:numSpacing w14:val="proportional"/>
    </w:rPr>
  </w:style>
  <w:style w:type="character" w:customStyle="1" w:styleId="xn-location">
    <w:name w:val="xn-location"/>
    <w:basedOn w:val="DefaultParagraphFont"/>
    <w:rsid w:val="00450C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120489">
      <w:bodyDiv w:val="1"/>
      <w:marLeft w:val="0"/>
      <w:marRight w:val="0"/>
      <w:marTop w:val="0"/>
      <w:marBottom w:val="0"/>
      <w:divBdr>
        <w:top w:val="none" w:sz="0" w:space="0" w:color="auto"/>
        <w:left w:val="none" w:sz="0" w:space="0" w:color="auto"/>
        <w:bottom w:val="none" w:sz="0" w:space="0" w:color="auto"/>
        <w:right w:val="none" w:sz="0" w:space="0" w:color="auto"/>
      </w:divBdr>
    </w:div>
    <w:div w:id="637683675">
      <w:bodyDiv w:val="1"/>
      <w:marLeft w:val="0"/>
      <w:marRight w:val="0"/>
      <w:marTop w:val="0"/>
      <w:marBottom w:val="0"/>
      <w:divBdr>
        <w:top w:val="none" w:sz="0" w:space="0" w:color="auto"/>
        <w:left w:val="none" w:sz="0" w:space="0" w:color="auto"/>
        <w:bottom w:val="none" w:sz="0" w:space="0" w:color="auto"/>
        <w:right w:val="none" w:sz="0" w:space="0" w:color="auto"/>
      </w:divBdr>
    </w:div>
    <w:div w:id="1038551101">
      <w:bodyDiv w:val="1"/>
      <w:marLeft w:val="0"/>
      <w:marRight w:val="0"/>
      <w:marTop w:val="0"/>
      <w:marBottom w:val="0"/>
      <w:divBdr>
        <w:top w:val="none" w:sz="0" w:space="0" w:color="auto"/>
        <w:left w:val="none" w:sz="0" w:space="0" w:color="auto"/>
        <w:bottom w:val="none" w:sz="0" w:space="0" w:color="auto"/>
        <w:right w:val="none" w:sz="0" w:space="0" w:color="auto"/>
      </w:divBdr>
    </w:div>
    <w:div w:id="1220938255">
      <w:bodyDiv w:val="1"/>
      <w:marLeft w:val="0"/>
      <w:marRight w:val="0"/>
      <w:marTop w:val="0"/>
      <w:marBottom w:val="0"/>
      <w:divBdr>
        <w:top w:val="none" w:sz="0" w:space="0" w:color="auto"/>
        <w:left w:val="none" w:sz="0" w:space="0" w:color="auto"/>
        <w:bottom w:val="none" w:sz="0" w:space="0" w:color="auto"/>
        <w:right w:val="none" w:sz="0" w:space="0" w:color="auto"/>
      </w:divBdr>
    </w:div>
    <w:div w:id="1650328286">
      <w:bodyDiv w:val="1"/>
      <w:marLeft w:val="0"/>
      <w:marRight w:val="0"/>
      <w:marTop w:val="0"/>
      <w:marBottom w:val="0"/>
      <w:divBdr>
        <w:top w:val="none" w:sz="0" w:space="0" w:color="auto"/>
        <w:left w:val="none" w:sz="0" w:space="0" w:color="auto"/>
        <w:bottom w:val="none" w:sz="0" w:space="0" w:color="auto"/>
        <w:right w:val="none" w:sz="0" w:space="0" w:color="auto"/>
      </w:divBdr>
    </w:div>
    <w:div w:id="1962952201">
      <w:bodyDiv w:val="1"/>
      <w:marLeft w:val="0"/>
      <w:marRight w:val="0"/>
      <w:marTop w:val="0"/>
      <w:marBottom w:val="0"/>
      <w:divBdr>
        <w:top w:val="none" w:sz="0" w:space="0" w:color="auto"/>
        <w:left w:val="none" w:sz="0" w:space="0" w:color="auto"/>
        <w:bottom w:val="none" w:sz="0" w:space="0" w:color="auto"/>
        <w:right w:val="none" w:sz="0" w:space="0" w:color="auto"/>
      </w:divBdr>
      <w:divsChild>
        <w:div w:id="133595785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Volumes/NAF%20ACTIVE/~~TEMPLATES/NAF%20Memorandum%202017-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B55CC5-D2C8-2341-829B-03F1998A3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NAF Memorandum 2017-11.dotx</Template>
  <TotalTime>1</TotalTime>
  <Pages>11</Pages>
  <Words>4027</Words>
  <Characters>22960</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NAF</Company>
  <LinksUpToDate>false</LinksUpToDate>
  <CharactersWithSpaces>26934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associate03@ngariss.org</dc:creator>
  <cp:keywords/>
  <dc:description/>
  <cp:lastModifiedBy>associate03@ngariss.org</cp:lastModifiedBy>
  <cp:revision>4</cp:revision>
  <cp:lastPrinted>2018-03-12T18:29:00Z</cp:lastPrinted>
  <dcterms:created xsi:type="dcterms:W3CDTF">2018-03-12T21:49:00Z</dcterms:created>
  <dcterms:modified xsi:type="dcterms:W3CDTF">2018-03-12T22:16:00Z</dcterms:modified>
</cp:coreProperties>
</file>